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1"/>
        </w:rPr>
        <w:t>湖南省麻阳苗族自治县尧市镇马江口建筑石料用灰岩矿成交信息公示</w:t>
      </w:r>
    </w:p>
    <w:p>
      <w:pPr>
        <w:pStyle w:val="Heading1"/>
        <w:spacing w:before="223"/>
        <w:ind w:left="3" w:right="918"/>
        <w:jc w:val="center"/>
      </w:pPr>
      <w:r>
        <w:rPr>
          <w:spacing w:val="-2"/>
        </w:rPr>
        <w:t>怀公资矿公示〔2025〕03</w:t>
      </w:r>
      <w:r>
        <w:rPr>
          <w:spacing w:val="-10"/>
        </w:rPr>
        <w:t>号</w:t>
      </w:r>
    </w:p>
    <w:p>
      <w:pPr>
        <w:pStyle w:val="BodyText"/>
        <w:spacing w:line="333" w:lineRule="auto" w:before="283"/>
        <w:ind w:left="584" w:right="1648" w:firstLine="503"/>
        <w:jc w:val="both"/>
      </w:pPr>
      <w:r>
        <w:rPr>
          <w:spacing w:val="-2"/>
        </w:rPr>
        <w:t>2025年10月14日－2025年12月01日，怀化市公共资源交易中心受怀化市自然资源和规划局的委托，通过互联网，使用湖南省（怀化市）国有资产资源交易平台的矿业权交易系统，公开挂牌出让了湖南省麻阳苗族自治县尧市镇马江口建筑石料用灰岩矿(怀公资矿网挂〔2025〕03号)，现将成交结果公示如下：</w:t>
      </w:r>
    </w:p>
    <w:p>
      <w:pPr>
        <w:pStyle w:val="Heading1"/>
      </w:pPr>
      <w:r>
        <w:rPr>
          <w:spacing w:val="-5"/>
        </w:rPr>
        <w:t>一、成交情况</w:t>
      </w:r>
    </w:p>
    <w:p>
      <w:pPr>
        <w:pStyle w:val="BodyText"/>
        <w:spacing w:line="333" w:lineRule="auto" w:before="122"/>
        <w:ind w:left="584" w:right="3444" w:firstLine="503"/>
      </w:pPr>
      <w:r>
        <w:rPr>
          <w:spacing w:val="-2"/>
        </w:rPr>
        <w:t>1、竞得人名称及社会信用代码：麻阳锦江建材有限责任公司 (91431226MA4RBY36XJ)</w:t>
      </w:r>
    </w:p>
    <w:p>
      <w:pPr>
        <w:pStyle w:val="BodyText"/>
        <w:spacing w:before="3"/>
      </w:pPr>
      <w:r>
        <w:rPr/>
        <w:t>2、竞得人注册地址：湖南省怀化市麻阳苗族自治县产业园综合办公楼6</w:t>
      </w:r>
      <w:r>
        <w:rPr>
          <w:spacing w:val="-10"/>
        </w:rPr>
        <w:t>楼</w:t>
      </w:r>
    </w:p>
    <w:p>
      <w:pPr>
        <w:pStyle w:val="BodyText"/>
        <w:spacing w:before="122"/>
      </w:pPr>
      <w:r>
        <w:rPr/>
        <w:t>3、成交时间：2025年12月01日10时00</w:t>
      </w:r>
      <w:r>
        <w:rPr>
          <w:spacing w:val="-10"/>
        </w:rPr>
        <w:t>分</w:t>
      </w:r>
    </w:p>
    <w:p>
      <w:pPr>
        <w:pStyle w:val="BodyText"/>
      </w:pPr>
      <w:r>
        <w:rPr/>
        <w:t>4、成交地点：湖南省（怀化市）</w:t>
      </w:r>
      <w:r>
        <w:rPr>
          <w:spacing w:val="-1"/>
        </w:rPr>
        <w:t>国有资产资源交易平台</w:t>
      </w:r>
    </w:p>
    <w:p>
      <w:pPr>
        <w:spacing w:line="333" w:lineRule="auto" w:before="123"/>
        <w:ind w:left="1082" w:right="4645" w:firstLine="5"/>
        <w:jc w:val="left"/>
        <w:rPr>
          <w:b/>
          <w:sz w:val="24"/>
        </w:rPr>
      </w:pPr>
      <w:r>
        <w:rPr>
          <w:spacing w:val="-2"/>
          <w:sz w:val="24"/>
        </w:rPr>
        <w:t>5、成交价：叁仟壹佰肆拾万元整（￥3140万元</w:t>
      </w:r>
      <w:r>
        <w:rPr>
          <w:spacing w:val="-2"/>
          <w:sz w:val="24"/>
        </w:rPr>
        <w:t>）</w:t>
      </w:r>
      <w:r>
        <w:rPr>
          <w:b/>
          <w:spacing w:val="-2"/>
          <w:sz w:val="24"/>
        </w:rPr>
        <w:t>二、采矿权基本情况</w:t>
      </w:r>
    </w:p>
    <w:p>
      <w:pPr>
        <w:pStyle w:val="BodyText"/>
        <w:spacing w:before="2"/>
      </w:pPr>
      <w:r>
        <w:rPr/>
        <w:t>1</w:t>
      </w:r>
      <w:r>
        <w:rPr>
          <w:spacing w:val="-1"/>
        </w:rPr>
        <w:t>、项目名称：湖南省麻阳苗族自治县尧市镇马江口建筑石料用灰岩矿</w:t>
      </w:r>
    </w:p>
    <w:p>
      <w:pPr>
        <w:pStyle w:val="BodyText"/>
      </w:pPr>
      <w:r>
        <w:rPr/>
        <w:t>2</w:t>
      </w:r>
      <w:r>
        <w:rPr>
          <w:spacing w:val="-1"/>
        </w:rPr>
        <w:t>、地理位置：麻阳县尧市镇小江村</w:t>
      </w:r>
    </w:p>
    <w:p>
      <w:pPr>
        <w:pStyle w:val="BodyText"/>
      </w:pPr>
      <w:r>
        <w:rPr/>
        <w:t>3</w:t>
      </w:r>
      <w:r>
        <w:rPr>
          <w:spacing w:val="-1"/>
        </w:rPr>
        <w:t>、开采矿种：建筑石料用灰岩矿</w:t>
      </w:r>
    </w:p>
    <w:p>
      <w:pPr>
        <w:pStyle w:val="BodyText"/>
      </w:pPr>
      <w:r>
        <w:rPr/>
        <w:t>4</w:t>
      </w:r>
      <w:r>
        <w:rPr>
          <w:spacing w:val="-1"/>
        </w:rPr>
        <w:t>、资源储量情况：矿区勘查工作程度达到详查，提交建筑石料用灰岩矿控制</w:t>
      </w:r>
    </w:p>
    <w:p>
      <w:pPr>
        <w:pStyle w:val="BodyText"/>
        <w:spacing w:line="333" w:lineRule="auto" w:before="122"/>
        <w:ind w:left="584" w:right="1670"/>
      </w:pPr>
      <w:r>
        <w:rPr>
          <w:spacing w:val="-2"/>
        </w:rPr>
        <w:t>+推断资源量1032.6万t，其中控制资源量576.8万t、推断资源量455.8万t，可采储量1011.95万吨。</w:t>
      </w:r>
    </w:p>
    <w:p>
      <w:pPr>
        <w:pStyle w:val="BodyText"/>
        <w:spacing w:before="3" w:after="58"/>
      </w:pPr>
      <w:r>
        <w:rPr/>
        <w:t>5、矿区坐标（2000系坐标）</w:t>
      </w:r>
      <w:r>
        <w:rPr>
          <w:spacing w:val="-3"/>
        </w:rPr>
        <w:t>及面积：</w:t>
      </w:r>
    </w:p>
    <w:tbl>
      <w:tblPr>
        <w:tblW w:w="0" w:type="auto"/>
        <w:jc w:val="left"/>
        <w:tblInd w:w="599" w:type="dxa"/>
        <w:tblBorders>
          <w:top w:val="single" w:sz="6" w:space="0" w:color="515A6D"/>
          <w:left w:val="single" w:sz="6" w:space="0" w:color="515A6D"/>
          <w:bottom w:val="single" w:sz="6" w:space="0" w:color="515A6D"/>
          <w:right w:val="single" w:sz="6" w:space="0" w:color="515A6D"/>
          <w:insideH w:val="single" w:sz="6" w:space="0" w:color="515A6D"/>
          <w:insideV w:val="single" w:sz="6" w:space="0" w:color="515A6D"/>
        </w:tblBorders>
        <w:tblLayout w:type="fixed"/>
        <w:tblCellMar>
          <w:top w:w="0" w:type="dxa"/>
          <w:left w:w="0" w:type="dxa"/>
          <w:bottom w:w="0" w:type="dxa"/>
          <w:right w:w="0" w:type="dxa"/>
        </w:tblCellMar>
        <w:tblLook w:val="01E0"/>
      </w:tblPr>
      <w:tblGrid>
        <w:gridCol w:w="2940"/>
        <w:gridCol w:w="2940"/>
        <w:gridCol w:w="2940"/>
      </w:tblGrid>
      <w:tr>
        <w:trPr>
          <w:trHeight w:val="396" w:hRule="atLeast"/>
        </w:trPr>
        <w:tc>
          <w:tcPr>
            <w:tcW w:w="2940" w:type="dxa"/>
          </w:tcPr>
          <w:p>
            <w:pPr>
              <w:pStyle w:val="TableParagraph"/>
              <w:spacing w:before="118"/>
              <w:ind w:right="14"/>
              <w:rPr>
                <w:b/>
                <w:sz w:val="13"/>
              </w:rPr>
            </w:pPr>
            <w:r>
              <w:rPr>
                <w:b/>
                <w:spacing w:val="-5"/>
                <w:w w:val="105"/>
                <w:sz w:val="13"/>
              </w:rPr>
              <w:t>序号</w:t>
            </w:r>
          </w:p>
        </w:tc>
        <w:tc>
          <w:tcPr>
            <w:tcW w:w="2940" w:type="dxa"/>
          </w:tcPr>
          <w:p>
            <w:pPr>
              <w:pStyle w:val="TableParagraph"/>
              <w:spacing w:before="118"/>
              <w:ind w:right="13"/>
              <w:rPr>
                <w:b/>
                <w:sz w:val="13"/>
              </w:rPr>
            </w:pPr>
            <w:r>
              <w:rPr>
                <w:b/>
                <w:spacing w:val="-10"/>
                <w:w w:val="105"/>
                <w:sz w:val="13"/>
              </w:rPr>
              <w:t>X</w:t>
            </w:r>
          </w:p>
        </w:tc>
        <w:tc>
          <w:tcPr>
            <w:tcW w:w="2940" w:type="dxa"/>
          </w:tcPr>
          <w:p>
            <w:pPr>
              <w:pStyle w:val="TableParagraph"/>
              <w:spacing w:before="118"/>
              <w:ind w:right="11"/>
              <w:rPr>
                <w:b/>
                <w:sz w:val="13"/>
              </w:rPr>
            </w:pPr>
            <w:r>
              <w:rPr>
                <w:b/>
                <w:spacing w:val="-10"/>
                <w:w w:val="105"/>
                <w:sz w:val="13"/>
              </w:rPr>
              <w:t>Y</w:t>
            </w:r>
          </w:p>
        </w:tc>
      </w:tr>
      <w:tr>
        <w:trPr>
          <w:trHeight w:val="293" w:hRule="atLeast"/>
        </w:trPr>
        <w:tc>
          <w:tcPr>
            <w:tcW w:w="2940" w:type="dxa"/>
          </w:tcPr>
          <w:p>
            <w:pPr>
              <w:pStyle w:val="TableParagraph"/>
              <w:ind w:right="2"/>
              <w:rPr>
                <w:sz w:val="16"/>
              </w:rPr>
            </w:pPr>
            <w:r>
              <w:rPr>
                <w:spacing w:val="-10"/>
                <w:sz w:val="16"/>
              </w:rPr>
              <w:t>1</w:t>
            </w:r>
          </w:p>
        </w:tc>
        <w:tc>
          <w:tcPr>
            <w:tcW w:w="2940" w:type="dxa"/>
          </w:tcPr>
          <w:p>
            <w:pPr>
              <w:pStyle w:val="TableParagraph"/>
              <w:ind w:right="1"/>
              <w:rPr>
                <w:sz w:val="16"/>
              </w:rPr>
            </w:pPr>
            <w:r>
              <w:rPr>
                <w:spacing w:val="-2"/>
                <w:sz w:val="16"/>
              </w:rPr>
              <w:t>3063094.82</w:t>
            </w:r>
          </w:p>
        </w:tc>
        <w:tc>
          <w:tcPr>
            <w:tcW w:w="2940" w:type="dxa"/>
          </w:tcPr>
          <w:p>
            <w:pPr>
              <w:pStyle w:val="TableParagraph"/>
              <w:rPr>
                <w:sz w:val="16"/>
              </w:rPr>
            </w:pPr>
            <w:r>
              <w:rPr>
                <w:spacing w:val="-2"/>
                <w:sz w:val="16"/>
              </w:rPr>
              <w:t>37355308.62</w:t>
            </w:r>
          </w:p>
        </w:tc>
      </w:tr>
      <w:tr>
        <w:trPr>
          <w:trHeight w:val="293" w:hRule="atLeast"/>
        </w:trPr>
        <w:tc>
          <w:tcPr>
            <w:tcW w:w="2940" w:type="dxa"/>
          </w:tcPr>
          <w:p>
            <w:pPr>
              <w:pStyle w:val="TableParagraph"/>
              <w:ind w:right="2"/>
              <w:rPr>
                <w:sz w:val="16"/>
              </w:rPr>
            </w:pPr>
            <w:r>
              <w:rPr>
                <w:spacing w:val="-10"/>
                <w:sz w:val="16"/>
              </w:rPr>
              <w:t>2</w:t>
            </w:r>
          </w:p>
        </w:tc>
        <w:tc>
          <w:tcPr>
            <w:tcW w:w="2940" w:type="dxa"/>
          </w:tcPr>
          <w:p>
            <w:pPr>
              <w:pStyle w:val="TableParagraph"/>
              <w:ind w:right="1"/>
              <w:rPr>
                <w:sz w:val="16"/>
              </w:rPr>
            </w:pPr>
            <w:r>
              <w:rPr>
                <w:spacing w:val="-2"/>
                <w:sz w:val="16"/>
              </w:rPr>
              <w:t>3063109.89</w:t>
            </w:r>
          </w:p>
        </w:tc>
        <w:tc>
          <w:tcPr>
            <w:tcW w:w="2940" w:type="dxa"/>
          </w:tcPr>
          <w:p>
            <w:pPr>
              <w:pStyle w:val="TableParagraph"/>
              <w:rPr>
                <w:sz w:val="16"/>
              </w:rPr>
            </w:pPr>
            <w:r>
              <w:rPr>
                <w:spacing w:val="-2"/>
                <w:sz w:val="16"/>
              </w:rPr>
              <w:t>37355391.05</w:t>
            </w:r>
          </w:p>
        </w:tc>
      </w:tr>
      <w:tr>
        <w:trPr>
          <w:trHeight w:val="293" w:hRule="atLeast"/>
        </w:trPr>
        <w:tc>
          <w:tcPr>
            <w:tcW w:w="2940" w:type="dxa"/>
          </w:tcPr>
          <w:p>
            <w:pPr>
              <w:pStyle w:val="TableParagraph"/>
              <w:ind w:right="2"/>
              <w:rPr>
                <w:sz w:val="16"/>
              </w:rPr>
            </w:pPr>
            <w:r>
              <w:rPr>
                <w:spacing w:val="-10"/>
                <w:sz w:val="16"/>
              </w:rPr>
              <w:t>3</w:t>
            </w:r>
          </w:p>
        </w:tc>
        <w:tc>
          <w:tcPr>
            <w:tcW w:w="2940" w:type="dxa"/>
          </w:tcPr>
          <w:p>
            <w:pPr>
              <w:pStyle w:val="TableParagraph"/>
              <w:ind w:right="1"/>
              <w:rPr>
                <w:sz w:val="16"/>
              </w:rPr>
            </w:pPr>
            <w:r>
              <w:rPr>
                <w:spacing w:val="-2"/>
                <w:sz w:val="16"/>
              </w:rPr>
              <w:t>3063052.55</w:t>
            </w:r>
          </w:p>
        </w:tc>
        <w:tc>
          <w:tcPr>
            <w:tcW w:w="2940" w:type="dxa"/>
          </w:tcPr>
          <w:p>
            <w:pPr>
              <w:pStyle w:val="TableParagraph"/>
              <w:rPr>
                <w:sz w:val="16"/>
              </w:rPr>
            </w:pPr>
            <w:r>
              <w:rPr>
                <w:spacing w:val="-2"/>
                <w:sz w:val="16"/>
              </w:rPr>
              <w:t>37355466.93</w:t>
            </w:r>
          </w:p>
        </w:tc>
      </w:tr>
      <w:tr>
        <w:trPr>
          <w:trHeight w:val="293" w:hRule="atLeast"/>
        </w:trPr>
        <w:tc>
          <w:tcPr>
            <w:tcW w:w="2940" w:type="dxa"/>
          </w:tcPr>
          <w:p>
            <w:pPr>
              <w:pStyle w:val="TableParagraph"/>
              <w:ind w:right="2"/>
              <w:rPr>
                <w:sz w:val="16"/>
              </w:rPr>
            </w:pPr>
            <w:r>
              <w:rPr>
                <w:spacing w:val="-10"/>
                <w:sz w:val="16"/>
              </w:rPr>
              <w:t>4</w:t>
            </w:r>
          </w:p>
        </w:tc>
        <w:tc>
          <w:tcPr>
            <w:tcW w:w="2940" w:type="dxa"/>
          </w:tcPr>
          <w:p>
            <w:pPr>
              <w:pStyle w:val="TableParagraph"/>
              <w:ind w:right="1"/>
              <w:rPr>
                <w:sz w:val="16"/>
              </w:rPr>
            </w:pPr>
            <w:r>
              <w:rPr>
                <w:spacing w:val="-2"/>
                <w:sz w:val="16"/>
              </w:rPr>
              <w:t>3062902.60</w:t>
            </w:r>
          </w:p>
        </w:tc>
        <w:tc>
          <w:tcPr>
            <w:tcW w:w="2940" w:type="dxa"/>
          </w:tcPr>
          <w:p>
            <w:pPr>
              <w:pStyle w:val="TableParagraph"/>
              <w:rPr>
                <w:sz w:val="16"/>
              </w:rPr>
            </w:pPr>
            <w:r>
              <w:rPr>
                <w:spacing w:val="-2"/>
                <w:sz w:val="16"/>
              </w:rPr>
              <w:t>37355449.53</w:t>
            </w:r>
          </w:p>
        </w:tc>
      </w:tr>
      <w:tr>
        <w:trPr>
          <w:trHeight w:val="293" w:hRule="atLeast"/>
        </w:trPr>
        <w:tc>
          <w:tcPr>
            <w:tcW w:w="2940" w:type="dxa"/>
          </w:tcPr>
          <w:p>
            <w:pPr>
              <w:pStyle w:val="TableParagraph"/>
              <w:ind w:right="2"/>
              <w:rPr>
                <w:sz w:val="16"/>
              </w:rPr>
            </w:pPr>
            <w:r>
              <w:rPr>
                <w:spacing w:val="-10"/>
                <w:sz w:val="16"/>
              </w:rPr>
              <w:t>5</w:t>
            </w:r>
          </w:p>
        </w:tc>
        <w:tc>
          <w:tcPr>
            <w:tcW w:w="2940" w:type="dxa"/>
          </w:tcPr>
          <w:p>
            <w:pPr>
              <w:pStyle w:val="TableParagraph"/>
              <w:ind w:right="1"/>
              <w:rPr>
                <w:sz w:val="16"/>
              </w:rPr>
            </w:pPr>
            <w:r>
              <w:rPr>
                <w:spacing w:val="-2"/>
                <w:sz w:val="16"/>
              </w:rPr>
              <w:t>3062739.20</w:t>
            </w:r>
          </w:p>
        </w:tc>
        <w:tc>
          <w:tcPr>
            <w:tcW w:w="2940" w:type="dxa"/>
          </w:tcPr>
          <w:p>
            <w:pPr>
              <w:pStyle w:val="TableParagraph"/>
              <w:rPr>
                <w:sz w:val="16"/>
              </w:rPr>
            </w:pPr>
            <w:r>
              <w:rPr>
                <w:spacing w:val="-2"/>
                <w:sz w:val="16"/>
              </w:rPr>
              <w:t>37355417.78</w:t>
            </w:r>
          </w:p>
        </w:tc>
      </w:tr>
      <w:tr>
        <w:trPr>
          <w:trHeight w:val="293" w:hRule="atLeast"/>
        </w:trPr>
        <w:tc>
          <w:tcPr>
            <w:tcW w:w="2940" w:type="dxa"/>
          </w:tcPr>
          <w:p>
            <w:pPr>
              <w:pStyle w:val="TableParagraph"/>
              <w:ind w:right="2"/>
              <w:rPr>
                <w:sz w:val="16"/>
              </w:rPr>
            </w:pPr>
            <w:r>
              <w:rPr>
                <w:spacing w:val="-10"/>
                <w:sz w:val="16"/>
              </w:rPr>
              <w:t>6</w:t>
            </w:r>
          </w:p>
        </w:tc>
        <w:tc>
          <w:tcPr>
            <w:tcW w:w="2940" w:type="dxa"/>
          </w:tcPr>
          <w:p>
            <w:pPr>
              <w:pStyle w:val="TableParagraph"/>
              <w:ind w:right="1"/>
              <w:rPr>
                <w:sz w:val="16"/>
              </w:rPr>
            </w:pPr>
            <w:r>
              <w:rPr>
                <w:spacing w:val="-2"/>
                <w:sz w:val="16"/>
              </w:rPr>
              <w:t>3062771.85</w:t>
            </w:r>
          </w:p>
        </w:tc>
        <w:tc>
          <w:tcPr>
            <w:tcW w:w="2940" w:type="dxa"/>
          </w:tcPr>
          <w:p>
            <w:pPr>
              <w:pStyle w:val="TableParagraph"/>
              <w:rPr>
                <w:sz w:val="16"/>
              </w:rPr>
            </w:pPr>
            <w:r>
              <w:rPr>
                <w:spacing w:val="-2"/>
                <w:sz w:val="16"/>
              </w:rPr>
              <w:t>37355106.50</w:t>
            </w:r>
          </w:p>
        </w:tc>
      </w:tr>
      <w:tr>
        <w:trPr>
          <w:trHeight w:val="293" w:hRule="atLeast"/>
        </w:trPr>
        <w:tc>
          <w:tcPr>
            <w:tcW w:w="2940" w:type="dxa"/>
          </w:tcPr>
          <w:p>
            <w:pPr>
              <w:pStyle w:val="TableParagraph"/>
              <w:ind w:right="2"/>
              <w:rPr>
                <w:sz w:val="16"/>
              </w:rPr>
            </w:pPr>
            <w:r>
              <w:rPr>
                <w:spacing w:val="-10"/>
                <w:sz w:val="16"/>
              </w:rPr>
              <w:t>7</w:t>
            </w:r>
          </w:p>
        </w:tc>
        <w:tc>
          <w:tcPr>
            <w:tcW w:w="2940" w:type="dxa"/>
          </w:tcPr>
          <w:p>
            <w:pPr>
              <w:pStyle w:val="TableParagraph"/>
              <w:ind w:right="1"/>
              <w:rPr>
                <w:sz w:val="16"/>
              </w:rPr>
            </w:pPr>
            <w:r>
              <w:rPr>
                <w:spacing w:val="-2"/>
                <w:sz w:val="16"/>
              </w:rPr>
              <w:t>3062847.27</w:t>
            </w:r>
          </w:p>
        </w:tc>
        <w:tc>
          <w:tcPr>
            <w:tcW w:w="2940" w:type="dxa"/>
          </w:tcPr>
          <w:p>
            <w:pPr>
              <w:pStyle w:val="TableParagraph"/>
              <w:rPr>
                <w:sz w:val="16"/>
              </w:rPr>
            </w:pPr>
            <w:r>
              <w:rPr>
                <w:spacing w:val="-2"/>
                <w:sz w:val="16"/>
              </w:rPr>
              <w:t>37355102.66</w:t>
            </w:r>
          </w:p>
        </w:tc>
      </w:tr>
      <w:tr>
        <w:trPr>
          <w:trHeight w:val="293" w:hRule="atLeast"/>
        </w:trPr>
        <w:tc>
          <w:tcPr>
            <w:tcW w:w="2940" w:type="dxa"/>
          </w:tcPr>
          <w:p>
            <w:pPr>
              <w:pStyle w:val="TableParagraph"/>
              <w:ind w:right="2"/>
              <w:rPr>
                <w:sz w:val="16"/>
              </w:rPr>
            </w:pPr>
            <w:r>
              <w:rPr>
                <w:spacing w:val="-10"/>
                <w:sz w:val="16"/>
              </w:rPr>
              <w:t>8</w:t>
            </w:r>
          </w:p>
        </w:tc>
        <w:tc>
          <w:tcPr>
            <w:tcW w:w="2940" w:type="dxa"/>
          </w:tcPr>
          <w:p>
            <w:pPr>
              <w:pStyle w:val="TableParagraph"/>
              <w:ind w:right="1"/>
              <w:rPr>
                <w:sz w:val="16"/>
              </w:rPr>
            </w:pPr>
            <w:r>
              <w:rPr>
                <w:spacing w:val="-2"/>
                <w:sz w:val="16"/>
              </w:rPr>
              <w:t>3062971.33</w:t>
            </w:r>
          </w:p>
        </w:tc>
        <w:tc>
          <w:tcPr>
            <w:tcW w:w="2940" w:type="dxa"/>
          </w:tcPr>
          <w:p>
            <w:pPr>
              <w:pStyle w:val="TableParagraph"/>
              <w:rPr>
                <w:sz w:val="16"/>
              </w:rPr>
            </w:pPr>
            <w:r>
              <w:rPr>
                <w:spacing w:val="-2"/>
                <w:sz w:val="16"/>
              </w:rPr>
              <w:t>37355132.50</w:t>
            </w:r>
          </w:p>
        </w:tc>
      </w:tr>
      <w:tr>
        <w:trPr>
          <w:trHeight w:val="293" w:hRule="atLeast"/>
        </w:trPr>
        <w:tc>
          <w:tcPr>
            <w:tcW w:w="8820" w:type="dxa"/>
            <w:gridSpan w:val="3"/>
          </w:tcPr>
          <w:p>
            <w:pPr>
              <w:pStyle w:val="TableParagraph"/>
              <w:ind w:left="8"/>
              <w:rPr>
                <w:rFonts w:ascii="Cambria" w:hAnsi="Cambria" w:eastAsia="Cambria"/>
                <w:sz w:val="16"/>
              </w:rPr>
            </w:pPr>
            <w:r>
              <w:rPr>
                <w:sz w:val="16"/>
              </w:rPr>
              <w:t>准采标高：+383至+255米标高 矿区面积</w:t>
            </w:r>
            <w:r>
              <w:rPr>
                <w:spacing w:val="-2"/>
                <w:sz w:val="16"/>
              </w:rPr>
              <w:t>：0.1006km</w:t>
            </w:r>
            <w:r>
              <w:rPr>
                <w:rFonts w:ascii="Cambria" w:hAnsi="Cambria" w:eastAsia="Cambria"/>
                <w:spacing w:val="-2"/>
                <w:sz w:val="16"/>
              </w:rPr>
              <w:t>²</w:t>
            </w:r>
          </w:p>
        </w:tc>
      </w:tr>
    </w:tbl>
    <w:p>
      <w:pPr>
        <w:pStyle w:val="Heading1"/>
        <w:spacing w:before="70"/>
      </w:pPr>
      <w:r>
        <w:rPr/>
        <w:drawing>
          <wp:anchor distT="0" distB="0" distL="0" distR="0" allowOverlap="1" layoutInCell="1" locked="0" behindDoc="0" simplePos="0" relativeHeight="15728640">
            <wp:simplePos x="0" y="0"/>
            <wp:positionH relativeFrom="page">
              <wp:posOffset>6027420</wp:posOffset>
            </wp:positionH>
            <wp:positionV relativeFrom="paragraph">
              <wp:posOffset>-838324</wp:posOffset>
            </wp:positionV>
            <wp:extent cx="1512061" cy="151191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512061" cy="1511910"/>
                    </a:xfrm>
                    <a:prstGeom prst="rect">
                      <a:avLst/>
                    </a:prstGeom>
                  </pic:spPr>
                </pic:pic>
              </a:graphicData>
            </a:graphic>
          </wp:anchor>
        </w:drawing>
      </w:r>
      <w:r>
        <w:rPr>
          <w:spacing w:val="-6"/>
        </w:rPr>
        <w:t>三、公示期</w:t>
      </w:r>
    </w:p>
    <w:p>
      <w:pPr>
        <w:pStyle w:val="BodyText"/>
      </w:pPr>
      <w:r>
        <w:rPr/>
        <w:t>公示期为10个工作日，至2025年12月18</w:t>
      </w:r>
      <w:r>
        <w:rPr>
          <w:spacing w:val="-4"/>
        </w:rPr>
        <w:t>日止。</w:t>
      </w:r>
    </w:p>
    <w:p>
      <w:pPr>
        <w:pStyle w:val="BodyText"/>
      </w:pPr>
      <w:r>
        <w:rPr>
          <w:spacing w:val="-1"/>
        </w:rPr>
        <w:t>对成交结果有异议的，异议人在公示期内书面向怀化市自然资源和规划局提</w:t>
      </w:r>
    </w:p>
    <w:p>
      <w:pPr>
        <w:pStyle w:val="BodyText"/>
        <w:ind w:left="584"/>
      </w:pPr>
      <w:r>
        <w:rPr>
          <w:spacing w:val="-5"/>
        </w:rPr>
        <w:t>出。</w:t>
      </w:r>
    </w:p>
    <w:p>
      <w:pPr>
        <w:pStyle w:val="BodyText"/>
        <w:spacing w:after="0"/>
        <w:sectPr>
          <w:type w:val="continuous"/>
          <w:pgSz w:w="11900" w:h="16840"/>
          <w:pgMar w:top="1060" w:bottom="280" w:left="992" w:right="0"/>
        </w:sectPr>
      </w:pPr>
    </w:p>
    <w:p>
      <w:pPr>
        <w:pStyle w:val="BodyText"/>
        <w:spacing w:before="0"/>
        <w:ind w:left="6774"/>
        <w:rPr>
          <w:sz w:val="20"/>
        </w:rPr>
      </w:pPr>
      <w:r>
        <w:rPr>
          <w:sz w:val="20"/>
        </w:rPr>
        <w:drawing>
          <wp:anchor distT="0" distB="0" distL="0" distR="0" allowOverlap="1" layoutInCell="1" locked="0" behindDoc="0" simplePos="0" relativeHeight="15729664">
            <wp:simplePos x="0" y="0"/>
            <wp:positionH relativeFrom="page">
              <wp:posOffset>5158740</wp:posOffset>
            </wp:positionH>
            <wp:positionV relativeFrom="page">
              <wp:posOffset>53992</wp:posOffset>
            </wp:positionV>
            <wp:extent cx="1512061" cy="151191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1512061" cy="1511910"/>
                    </a:xfrm>
                    <a:prstGeom prst="rect">
                      <a:avLst/>
                    </a:prstGeom>
                  </pic:spPr>
                </pic:pic>
              </a:graphicData>
            </a:graphic>
          </wp:anchor>
        </w:drawing>
      </w:r>
      <w:r>
        <w:rPr>
          <w:sz w:val="20"/>
        </w:rPr>
        <mc:AlternateContent>
          <mc:Choice Requires="wps">
            <w:drawing>
              <wp:inline distT="0" distB="0" distL="0" distR="0">
                <wp:extent cx="1739264" cy="1511935"/>
                <wp:effectExtent l="0" t="0" r="0" b="0"/>
                <wp:docPr id="3" name="Group 3"/>
                <wp:cNvGraphicFramePr>
                  <a:graphicFrameLocks/>
                </wp:cNvGraphicFramePr>
                <a:graphic>
                  <a:graphicData uri="http://schemas.microsoft.com/office/word/2010/wordprocessingGroup">
                    <wpg:wgp>
                      <wpg:cNvPr id="3" name="Group 3"/>
                      <wpg:cNvGrpSpPr/>
                      <wpg:grpSpPr>
                        <a:xfrm>
                          <a:off x="0" y="0"/>
                          <a:ext cx="1739264" cy="1511935"/>
                          <a:chExt cx="1739264" cy="1511935"/>
                        </a:xfrm>
                      </wpg:grpSpPr>
                      <wps:wsp>
                        <wps:cNvPr id="4" name="Textbox 4"/>
                        <wps:cNvSpPr txBox="1"/>
                        <wps:spPr>
                          <a:xfrm>
                            <a:off x="0" y="0"/>
                            <a:ext cx="1739264" cy="1511935"/>
                          </a:xfrm>
                          <a:prstGeom prst="rect">
                            <a:avLst/>
                          </a:prstGeom>
                        </wps:spPr>
                        <wps:txbx>
                          <w:txbxContent>
                            <w:p>
                              <w:pPr>
                                <w:spacing w:line="240" w:lineRule="auto" w:before="0"/>
                                <w:rPr>
                                  <w:sz w:val="24"/>
                                </w:rPr>
                              </w:pPr>
                            </w:p>
                            <w:p>
                              <w:pPr>
                                <w:spacing w:line="240" w:lineRule="auto" w:before="268"/>
                                <w:rPr>
                                  <w:sz w:val="24"/>
                                </w:rPr>
                              </w:pPr>
                            </w:p>
                            <w:p>
                              <w:pPr>
                                <w:spacing w:before="0"/>
                                <w:ind w:left="0" w:right="93" w:firstLine="0"/>
                                <w:jc w:val="right"/>
                                <w:rPr>
                                  <w:sz w:val="24"/>
                                </w:rPr>
                              </w:pPr>
                              <w:r>
                                <w:rPr>
                                  <w:spacing w:val="-3"/>
                                  <w:sz w:val="24"/>
                                </w:rPr>
                                <w:t>怀化市公共资源交易中心</w:t>
                              </w:r>
                            </w:p>
                            <w:p>
                              <w:pPr>
                                <w:spacing w:before="32"/>
                                <w:ind w:left="0" w:right="93" w:firstLine="0"/>
                                <w:jc w:val="right"/>
                                <w:rPr>
                                  <w:sz w:val="24"/>
                                </w:rPr>
                              </w:pPr>
                              <w:r>
                                <w:rPr>
                                  <w:sz w:val="24"/>
                                </w:rPr>
                                <w:t>2025年12月04</w:t>
                              </w:r>
                              <w:r>
                                <w:rPr>
                                  <w:spacing w:val="-10"/>
                                  <w:sz w:val="24"/>
                                </w:rPr>
                                <w:t>日</w:t>
                              </w:r>
                            </w:p>
                          </w:txbxContent>
                        </wps:txbx>
                        <wps:bodyPr wrap="square" lIns="0" tIns="0" rIns="0" bIns="0" rtlCol="0">
                          <a:noAutofit/>
                        </wps:bodyPr>
                      </wps:wsp>
                    </wpg:wgp>
                  </a:graphicData>
                </a:graphic>
              </wp:inline>
            </w:drawing>
          </mc:Choice>
          <mc:Fallback>
            <w:pict>
              <v:group style="width:136.950pt;height:119.05pt;mso-position-horizontal-relative:char;mso-position-vertical-relative:line" id="docshapegroup1" coordorigin="0,0" coordsize="2739,2381">
                <v:shapetype id="_x0000_t202" o:spt="202" coordsize="21600,21600" path="m,l,21600r21600,l21600,xe">
                  <v:stroke joinstyle="miter"/>
                  <v:path gradientshapeok="t" o:connecttype="rect"/>
                </v:shapetype>
                <v:shape style="position:absolute;left:0;top:0;width:2739;height:2381" type="#_x0000_t202" id="docshape2" filled="false" stroked="false">
                  <v:textbox inset="0,0,0,0">
                    <w:txbxContent>
                      <w:p>
                        <w:pPr>
                          <w:spacing w:line="240" w:lineRule="auto" w:before="0"/>
                          <w:rPr>
                            <w:sz w:val="24"/>
                          </w:rPr>
                        </w:pPr>
                      </w:p>
                      <w:p>
                        <w:pPr>
                          <w:spacing w:line="240" w:lineRule="auto" w:before="268"/>
                          <w:rPr>
                            <w:sz w:val="24"/>
                          </w:rPr>
                        </w:pPr>
                      </w:p>
                      <w:p>
                        <w:pPr>
                          <w:spacing w:before="0"/>
                          <w:ind w:left="0" w:right="93" w:firstLine="0"/>
                          <w:jc w:val="right"/>
                          <w:rPr>
                            <w:sz w:val="24"/>
                          </w:rPr>
                        </w:pPr>
                        <w:r>
                          <w:rPr>
                            <w:spacing w:val="-3"/>
                            <w:sz w:val="24"/>
                          </w:rPr>
                          <w:t>怀化市公共资源交易中心</w:t>
                        </w:r>
                      </w:p>
                      <w:p>
                        <w:pPr>
                          <w:spacing w:before="32"/>
                          <w:ind w:left="0" w:right="93" w:firstLine="0"/>
                          <w:jc w:val="right"/>
                          <w:rPr>
                            <w:sz w:val="24"/>
                          </w:rPr>
                        </w:pPr>
                        <w:r>
                          <w:rPr>
                            <w:sz w:val="24"/>
                          </w:rPr>
                          <w:t>2025年12月04</w:t>
                        </w:r>
                        <w:r>
                          <w:rPr>
                            <w:spacing w:val="-10"/>
                            <w:sz w:val="24"/>
                          </w:rPr>
                          <w:t>日</w:t>
                        </w:r>
                      </w:p>
                    </w:txbxContent>
                  </v:textbox>
                  <w10:wrap type="none"/>
                </v:shape>
              </v:group>
            </w:pict>
          </mc:Fallback>
        </mc:AlternateContent>
      </w:r>
      <w:r>
        <w:rPr>
          <w:sz w:val="20"/>
        </w:rPr>
      </w:r>
    </w:p>
    <w:sectPr>
      <w:pgSz w:w="11900" w:h="16840"/>
      <w:pgMar w:top="80" w:bottom="280" w:left="992"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宋体">
    <w:altName w:val="宋体"/>
    <w:charset w:val="86"/>
    <w:family w:val="auto"/>
    <w:pitch w:val="variable"/>
  </w:font>
  <w:font w:name="微软雅黑">
    <w:altName w:val="微软雅黑"/>
    <w:charset w:val="86"/>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zh-CN" w:bidi="ar-SA"/>
    </w:rPr>
  </w:style>
  <w:style w:styleId="BodyText" w:type="paragraph">
    <w:name w:val="Body Text"/>
    <w:basedOn w:val="Normal"/>
    <w:uiPriority w:val="1"/>
    <w:qFormat/>
    <w:pPr>
      <w:spacing w:before="123"/>
      <w:ind w:left="1088"/>
    </w:pPr>
    <w:rPr>
      <w:rFonts w:ascii="宋体" w:hAnsi="宋体" w:eastAsia="宋体" w:cs="宋体"/>
      <w:sz w:val="24"/>
      <w:szCs w:val="24"/>
      <w:lang w:val="en-US" w:eastAsia="zh-CN" w:bidi="ar-SA"/>
    </w:rPr>
  </w:style>
  <w:style w:styleId="Heading1" w:type="paragraph">
    <w:name w:val="Heading 1"/>
    <w:basedOn w:val="Normal"/>
    <w:uiPriority w:val="1"/>
    <w:qFormat/>
    <w:pPr>
      <w:spacing w:before="5"/>
      <w:ind w:left="1082"/>
      <w:outlineLvl w:val="1"/>
    </w:pPr>
    <w:rPr>
      <w:rFonts w:ascii="宋体" w:hAnsi="宋体" w:eastAsia="宋体" w:cs="宋体"/>
      <w:b/>
      <w:bCs/>
      <w:sz w:val="24"/>
      <w:szCs w:val="24"/>
      <w:lang w:val="en-US" w:eastAsia="zh-CN" w:bidi="ar-SA"/>
    </w:rPr>
  </w:style>
  <w:style w:styleId="Title" w:type="paragraph">
    <w:name w:val="Title"/>
    <w:basedOn w:val="Normal"/>
    <w:uiPriority w:val="1"/>
    <w:qFormat/>
    <w:pPr>
      <w:spacing w:line="541" w:lineRule="exact"/>
      <w:ind w:right="918"/>
      <w:jc w:val="center"/>
    </w:pPr>
    <w:rPr>
      <w:rFonts w:ascii="微软雅黑" w:hAnsi="微软雅黑" w:eastAsia="微软雅黑" w:cs="微软雅黑"/>
      <w:b/>
      <w:bCs/>
      <w:sz w:val="33"/>
      <w:szCs w:val="33"/>
      <w:lang w:val="en-US" w:eastAsia="zh-CN" w:bidi="ar-SA"/>
    </w:rPr>
  </w:style>
  <w:style w:styleId="ListParagraph" w:type="paragraph">
    <w:name w:val="List Paragraph"/>
    <w:basedOn w:val="Normal"/>
    <w:uiPriority w:val="1"/>
    <w:qFormat/>
    <w:pPr/>
    <w:rPr>
      <w:lang w:val="en-US" w:eastAsia="zh-CN" w:bidi="ar-SA"/>
    </w:rPr>
  </w:style>
  <w:style w:styleId="TableParagraph" w:type="paragraph">
    <w:name w:val="Table Paragraph"/>
    <w:basedOn w:val="Normal"/>
    <w:uiPriority w:val="1"/>
    <w:qFormat/>
    <w:pPr>
      <w:spacing w:before="41"/>
      <w:ind w:left="14"/>
      <w:jc w:val="center"/>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2025-12-04T08:34:28Z</dcterms:created>
  <dcterms:modified xsi:type="dcterms:W3CDTF">2025-12-04T08:34:28Z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Creator">
    <vt:lpwstr>wkhtmltopdf 0.12.6</vt:lpwstr>
  </property>
  <property fmtid="{D5CDD505-2E9C-101B-9397-08002B2CF9AE}" pid="4" name="LastSaved">
    <vt:filetime>2025-12-04T00:00:00Z</vt:filetime>
  </property>
  <property fmtid="{D5CDD505-2E9C-101B-9397-08002B2CF9AE}" pid="5" name="Producer">
    <vt:lpwstr>Qt 4.8.7; modified using ESS-PDF 2.1.0(1566)</vt:lpwstr>
  </property>
</Properties>
</file>