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6B2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附件5</w:t>
      </w:r>
    </w:p>
    <w:p w14:paraId="3C97A1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61C4A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34904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华文中宋" w:hAnsi="华文中宋" w:eastAsia="华文中宋" w:cs="华文中宋"/>
          <w:b/>
          <w:bCs/>
          <w:i w:val="0"/>
          <w:iCs w:val="0"/>
          <w:caps w:val="0"/>
          <w:color w:val="000000"/>
          <w:spacing w:val="0"/>
          <w:sz w:val="40"/>
          <w:szCs w:val="40"/>
          <w:shd w:val="clear" w:fill="FFFFFF"/>
          <w:lang w:val="en-US" w:eastAsia="zh-CN"/>
        </w:rPr>
      </w:pPr>
      <w:r>
        <w:rPr>
          <w:rFonts w:hint="eastAsia" w:ascii="华文中宋" w:hAnsi="华文中宋" w:eastAsia="华文中宋" w:cs="华文中宋"/>
          <w:b/>
          <w:bCs/>
          <w:i w:val="0"/>
          <w:iCs w:val="0"/>
          <w:caps w:val="0"/>
          <w:color w:val="000000"/>
          <w:spacing w:val="0"/>
          <w:sz w:val="40"/>
          <w:szCs w:val="40"/>
          <w:shd w:val="clear" w:fill="FFFFFF"/>
          <w:lang w:val="en-US" w:eastAsia="zh-CN"/>
        </w:rPr>
        <w:t>2024年度怀化市地质灾害防治中心</w:t>
      </w:r>
    </w:p>
    <w:p w14:paraId="231D77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华文中宋" w:hAnsi="华文中宋" w:eastAsia="华文中宋" w:cs="华文中宋"/>
          <w:b/>
          <w:bCs/>
          <w:i w:val="0"/>
          <w:iCs w:val="0"/>
          <w:caps w:val="0"/>
          <w:color w:val="000000"/>
          <w:spacing w:val="0"/>
          <w:sz w:val="40"/>
          <w:szCs w:val="40"/>
          <w:shd w:val="clear" w:fill="FFFFFF"/>
          <w:lang w:val="en-US" w:eastAsia="zh-CN"/>
        </w:rPr>
      </w:pPr>
      <w:bookmarkStart w:id="0" w:name="_GoBack"/>
      <w:bookmarkEnd w:id="0"/>
    </w:p>
    <w:p w14:paraId="0790C8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华文中宋" w:hAnsi="华文中宋" w:eastAsia="华文中宋" w:cs="华文中宋"/>
          <w:b/>
          <w:bCs/>
          <w:i w:val="0"/>
          <w:iCs w:val="0"/>
          <w:caps w:val="0"/>
          <w:color w:val="000000"/>
          <w:spacing w:val="0"/>
          <w:sz w:val="40"/>
          <w:szCs w:val="40"/>
          <w:shd w:val="clear" w:fill="FFFFFF"/>
          <w:lang w:val="en-US" w:eastAsia="zh-CN"/>
        </w:rPr>
      </w:pPr>
      <w:r>
        <w:rPr>
          <w:rFonts w:hint="eastAsia" w:ascii="华文中宋" w:hAnsi="华文中宋" w:eastAsia="华文中宋" w:cs="华文中宋"/>
          <w:b/>
          <w:bCs/>
          <w:i w:val="0"/>
          <w:iCs w:val="0"/>
          <w:caps w:val="0"/>
          <w:color w:val="000000"/>
          <w:spacing w:val="0"/>
          <w:sz w:val="40"/>
          <w:szCs w:val="40"/>
          <w:shd w:val="clear" w:fill="FFFFFF"/>
          <w:lang w:val="en-US" w:eastAsia="zh-CN"/>
        </w:rPr>
        <w:t>整体支出绩效自评报告</w:t>
      </w:r>
    </w:p>
    <w:p w14:paraId="3EB9AE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7F33D6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D2BB2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3739B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CF4C1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3271B2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BD7E3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0F998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0A5BB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C2B4F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AAD874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3FD80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774F0B8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3C39CE2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02E2771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585ADC6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70C397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center"/>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单位名称（盖章）：怀化市地质灾害防治中心</w:t>
      </w:r>
    </w:p>
    <w:p w14:paraId="5BF93EE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750B7D0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307DF6FD">
      <w:pPr>
        <w:widowControl/>
        <w:shd w:val="clear" w:color="auto" w:fill="FFFFFF"/>
        <w:spacing w:line="600" w:lineRule="atLeast"/>
        <w:jc w:val="center"/>
        <w:rPr>
          <w:rFonts w:hint="eastAsia" w:ascii="楷体" w:hAnsi="楷体" w:eastAsia="楷体" w:cs="楷体"/>
          <w:b/>
          <w:bCs/>
          <w:i w:val="0"/>
          <w:iCs w:val="0"/>
          <w:caps w:val="0"/>
          <w:color w:val="000000"/>
          <w:spacing w:val="0"/>
          <w:sz w:val="6"/>
          <w:szCs w:val="6"/>
          <w:shd w:val="clear" w:fill="FFFFFF"/>
          <w:lang w:val="en-US" w:eastAsia="zh-CN"/>
        </w:rPr>
      </w:pPr>
    </w:p>
    <w:p w14:paraId="71AD8841">
      <w:pPr>
        <w:widowControl/>
        <w:shd w:val="clear" w:color="auto" w:fill="FFFFFF"/>
        <w:spacing w:line="600" w:lineRule="atLeast"/>
        <w:jc w:val="center"/>
        <w:rPr>
          <w:rFonts w:hint="eastAsia" w:ascii="楷体" w:hAnsi="楷体" w:eastAsia="楷体" w:cs="楷体"/>
          <w:b/>
          <w:bCs/>
          <w:i w:val="0"/>
          <w:iCs w:val="0"/>
          <w:caps w:val="0"/>
          <w:color w:val="000000"/>
          <w:spacing w:val="0"/>
          <w:sz w:val="44"/>
          <w:szCs w:val="44"/>
          <w:shd w:val="clear" w:fill="FFFFFF"/>
          <w:lang w:val="en-US" w:eastAsia="zh-CN"/>
        </w:rPr>
      </w:pPr>
      <w:r>
        <w:rPr>
          <w:rFonts w:hint="eastAsia" w:ascii="楷体" w:hAnsi="楷体" w:eastAsia="楷体" w:cs="楷体"/>
          <w:b/>
          <w:bCs/>
          <w:i w:val="0"/>
          <w:iCs w:val="0"/>
          <w:caps w:val="0"/>
          <w:color w:val="000000"/>
          <w:spacing w:val="0"/>
          <w:sz w:val="44"/>
          <w:szCs w:val="44"/>
          <w:shd w:val="clear" w:fill="FFFFFF"/>
          <w:lang w:val="en-US" w:eastAsia="zh-CN"/>
        </w:rPr>
        <w:t>怀化市地质灾害防治中心2024年</w:t>
      </w:r>
    </w:p>
    <w:p w14:paraId="5E04E687">
      <w:pPr>
        <w:widowControl/>
        <w:shd w:val="clear" w:color="auto" w:fill="FFFFFF"/>
        <w:spacing w:line="600" w:lineRule="atLeast"/>
        <w:jc w:val="center"/>
        <w:rPr>
          <w:rFonts w:hint="default" w:ascii="仿宋" w:hAnsi="仿宋" w:eastAsia="仿宋" w:cs="仿宋"/>
          <w:color w:val="auto"/>
          <w:sz w:val="32"/>
          <w:szCs w:val="32"/>
          <w:highlight w:val="none"/>
          <w:lang w:val="en-US" w:eastAsia="zh-CN"/>
        </w:rPr>
      </w:pPr>
      <w:r>
        <w:rPr>
          <w:rFonts w:hint="eastAsia" w:ascii="楷体" w:hAnsi="楷体" w:eastAsia="楷体" w:cs="楷体"/>
          <w:b/>
          <w:bCs/>
          <w:i w:val="0"/>
          <w:iCs w:val="0"/>
          <w:caps w:val="0"/>
          <w:color w:val="000000"/>
          <w:spacing w:val="0"/>
          <w:sz w:val="44"/>
          <w:szCs w:val="44"/>
          <w:shd w:val="clear" w:fill="FFFFFF"/>
        </w:rPr>
        <w:t>整体支出绩效自评报告</w:t>
      </w:r>
    </w:p>
    <w:p w14:paraId="38153FF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color w:val="auto"/>
          <w:sz w:val="32"/>
          <w:szCs w:val="32"/>
          <w:highlight w:val="none"/>
          <w:lang w:val="en-US" w:eastAsia="zh-CN"/>
        </w:rPr>
      </w:pPr>
    </w:p>
    <w:p w14:paraId="15A4C4D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b/>
          <w:bCs/>
          <w:color w:val="auto"/>
          <w:sz w:val="32"/>
          <w:szCs w:val="32"/>
          <w:highlight w:val="none"/>
          <w:lang w:val="en-US" w:eastAsia="zh-CN"/>
        </w:rPr>
      </w:pPr>
      <w:r>
        <w:rPr>
          <w:rFonts w:hint="default" w:ascii="仿宋" w:hAnsi="仿宋" w:eastAsia="仿宋" w:cs="仿宋"/>
          <w:color w:val="auto"/>
          <w:sz w:val="32"/>
          <w:szCs w:val="32"/>
          <w:highlight w:val="none"/>
          <w:lang w:val="en-US" w:eastAsia="zh-CN"/>
        </w:rPr>
        <w:t>为</w:t>
      </w:r>
      <w:r>
        <w:rPr>
          <w:rFonts w:hint="eastAsia" w:ascii="仿宋" w:hAnsi="仿宋" w:eastAsia="仿宋" w:cs="仿宋"/>
          <w:color w:val="auto"/>
          <w:sz w:val="32"/>
          <w:szCs w:val="32"/>
          <w:highlight w:val="none"/>
          <w:lang w:val="en-US" w:eastAsia="zh-CN"/>
        </w:rPr>
        <w:t>进一步</w:t>
      </w:r>
      <w:r>
        <w:rPr>
          <w:rFonts w:hint="default" w:ascii="仿宋" w:hAnsi="仿宋" w:eastAsia="仿宋" w:cs="仿宋"/>
          <w:color w:val="auto"/>
          <w:sz w:val="32"/>
          <w:szCs w:val="32"/>
          <w:highlight w:val="none"/>
          <w:lang w:val="en-US" w:eastAsia="zh-CN"/>
        </w:rPr>
        <w:t>规范财政资金管理、强化绩效意识和支出责任，提高预算绩效管理整体水平，根据《中共中央 国务院关于全面实施预算绩效管理的意见》（中发〔2018〕34号）</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《中共怀化市委办公室 怀化市人民政府办公室关于全面实施预算绩效管理的通知》（怀办发电〔2019〕48号）</w:t>
      </w:r>
      <w:r>
        <w:rPr>
          <w:rFonts w:hint="eastAsia" w:ascii="仿宋" w:hAnsi="仿宋" w:eastAsia="仿宋" w:cs="仿宋"/>
          <w:color w:val="auto"/>
          <w:sz w:val="32"/>
          <w:szCs w:val="32"/>
          <w:highlight w:val="none"/>
          <w:lang w:val="en-US" w:eastAsia="zh-CN"/>
        </w:rPr>
        <w:t>和《怀化市财政局关于开展2024年度市级预算部门绩效自评和部门评价的通知》（怀财绩〔2025〕32号）</w:t>
      </w:r>
      <w:r>
        <w:rPr>
          <w:rFonts w:hint="default" w:ascii="仿宋" w:hAnsi="仿宋" w:eastAsia="仿宋" w:cs="仿宋"/>
          <w:color w:val="auto"/>
          <w:sz w:val="32"/>
          <w:szCs w:val="32"/>
          <w:highlight w:val="none"/>
          <w:lang w:val="en-US" w:eastAsia="zh-CN"/>
        </w:rPr>
        <w:t>等文件</w:t>
      </w:r>
      <w:r>
        <w:rPr>
          <w:rFonts w:hint="eastAsia" w:ascii="仿宋" w:hAnsi="仿宋" w:eastAsia="仿宋" w:cs="仿宋"/>
          <w:color w:val="auto"/>
          <w:sz w:val="32"/>
          <w:szCs w:val="32"/>
          <w:highlight w:val="none"/>
          <w:lang w:val="en-US" w:eastAsia="zh-CN"/>
        </w:rPr>
        <w:t>精神</w:t>
      </w:r>
      <w:r>
        <w:rPr>
          <w:rFonts w:hint="default" w:ascii="仿宋" w:hAnsi="仿宋" w:eastAsia="仿宋" w:cs="仿宋"/>
          <w:color w:val="auto"/>
          <w:sz w:val="32"/>
          <w:szCs w:val="32"/>
          <w:highlight w:val="none"/>
          <w:lang w:val="en-US" w:eastAsia="zh-CN"/>
        </w:rPr>
        <w:t>和深化零基预算改革有关要求，</w:t>
      </w:r>
      <w:r>
        <w:rPr>
          <w:rFonts w:hint="eastAsia" w:ascii="仿宋" w:hAnsi="仿宋" w:eastAsia="仿宋" w:cs="仿宋"/>
          <w:color w:val="auto"/>
          <w:sz w:val="32"/>
          <w:szCs w:val="32"/>
          <w:highlight w:val="none"/>
          <w:lang w:val="en-US" w:eastAsia="zh-CN"/>
        </w:rPr>
        <w:t>我中心</w:t>
      </w:r>
      <w:r>
        <w:rPr>
          <w:rFonts w:hint="default" w:ascii="仿宋" w:hAnsi="仿宋" w:eastAsia="仿宋" w:cs="仿宋"/>
          <w:color w:val="auto"/>
          <w:sz w:val="32"/>
          <w:szCs w:val="32"/>
          <w:highlight w:val="none"/>
          <w:lang w:val="en-US" w:eastAsia="zh-CN"/>
        </w:rPr>
        <w:t>对202</w:t>
      </w:r>
      <w:r>
        <w:rPr>
          <w:rFonts w:hint="eastAsia" w:ascii="仿宋" w:hAnsi="仿宋" w:eastAsia="仿宋" w:cs="仿宋"/>
          <w:color w:val="auto"/>
          <w:sz w:val="32"/>
          <w:szCs w:val="32"/>
          <w:highlight w:val="none"/>
          <w:lang w:val="en-US" w:eastAsia="zh-CN"/>
        </w:rPr>
        <w:t>4</w:t>
      </w:r>
      <w:r>
        <w:rPr>
          <w:rFonts w:hint="default" w:ascii="仿宋" w:hAnsi="仿宋" w:eastAsia="仿宋" w:cs="仿宋"/>
          <w:color w:val="auto"/>
          <w:sz w:val="32"/>
          <w:szCs w:val="32"/>
          <w:highlight w:val="none"/>
          <w:lang w:val="en-US" w:eastAsia="zh-CN"/>
        </w:rPr>
        <w:t>年整体支出进行了绩效评价，现报告如下</w:t>
      </w:r>
      <w:r>
        <w:rPr>
          <w:rFonts w:hint="eastAsia" w:ascii="仿宋" w:hAnsi="仿宋" w:eastAsia="仿宋" w:cs="仿宋"/>
          <w:color w:val="auto"/>
          <w:sz w:val="32"/>
          <w:szCs w:val="32"/>
          <w:highlight w:val="none"/>
          <w:lang w:val="en-US" w:eastAsia="zh-CN"/>
        </w:rPr>
        <w:t>：</w:t>
      </w:r>
    </w:p>
    <w:p w14:paraId="1F16B6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0B4EC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（一）部门（单位）基本情况</w:t>
      </w:r>
    </w:p>
    <w:p w14:paraId="4EE4AA2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1.机构设置情况</w:t>
      </w:r>
    </w:p>
    <w:p w14:paraId="0296312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怀化市地质灾害防治中心作为怀化市自然资源和规划局的二级部门预算单位，暂无内设科室。</w:t>
      </w:r>
    </w:p>
    <w:p w14:paraId="28BB6C0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2.人员编制情况</w:t>
      </w:r>
    </w:p>
    <w:p w14:paraId="72D0148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截止2024年12月31日，我中心核定差额拨款事业单位编制17名，实有在职人员17人。</w:t>
      </w:r>
    </w:p>
    <w:p w14:paraId="442C54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3.主要职能职责</w:t>
      </w:r>
    </w:p>
    <w:p w14:paraId="07863C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我中心主要承担全市地质灾害防治、监测预警预报，全市矿产资源开发和矿产资源储量管理等相关事务性职责。 </w:t>
      </w:r>
    </w:p>
    <w:p w14:paraId="26D029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4.绩效目标设定情况</w:t>
      </w:r>
    </w:p>
    <w:p w14:paraId="2CB3891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我中心根据单位职责职能，确定各项具体工作分工，并结合单位中长期规划和年度工作计划，明确年度主要工作任务，确定单位总体目标，以定量和定性相结合的方式目标设定，从中概括、提炼出能反映工作任务预期实现程度的关键性指标，确定为相应的绩效指标，通过收集基准数据，结合年度预算安排等情况实现目标计划。</w:t>
      </w:r>
    </w:p>
    <w:p w14:paraId="0AC89A8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2024年我中心设定的总体绩效目标为：</w:t>
      </w:r>
    </w:p>
    <w:p w14:paraId="5CFC598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目标1：做好地质灾害防治工作，最大限度的减少因自然地质灾害导致的人民群众生命财产安全。</w:t>
      </w:r>
    </w:p>
    <w:p w14:paraId="2ADB623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目标2：承担着全市矿产资源开发和矿产资源储量管理等相关事务性工作。</w:t>
      </w:r>
    </w:p>
    <w:p w14:paraId="199BD92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（二）部门（单位）整体支出规模、使用方向和主要内容、涉及范围等</w:t>
      </w:r>
    </w:p>
    <w:p w14:paraId="4E1F16A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怀化市地质灾害防治中心2024年度总收入271.51万元。其中：一般公共预算财政拨款收入225.27万元；政府性基金预算财政拨款收入45.85万元；其他收入0.39万元。</w:t>
      </w:r>
    </w:p>
    <w:p w14:paraId="20C33C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怀化市地质灾害防治中心2024年度总支出271.51万元。其中：基本支出93.34万元；项目支出178.17万元。</w:t>
      </w:r>
    </w:p>
    <w:p w14:paraId="32AADDF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按支出经济分类，工资福利支出218.96万元，主要用于在职人员工资、奖金、伙食补助费、社会保障缴费及住房公积金；商品和服务支出47.25万元，主要用于办公费、电费、邮电费、差旅费等日常办公费用以及预警平台短信服务费、地下水看护劳务费等项目支出；对个人和家庭的补助开支5.29万元，主要用于退休人员春节一次性生活补助、遗属费等。</w:t>
      </w:r>
    </w:p>
    <w:p w14:paraId="1F950F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w w:val="100"/>
          <w:sz w:val="32"/>
          <w:szCs w:val="32"/>
          <w:highlight w:val="none"/>
          <w:lang w:val="en-US" w:eastAsia="zh-CN"/>
        </w:rPr>
      </w:pPr>
      <w:r>
        <w:rPr>
          <w:rFonts w:hint="default" w:ascii="方正黑体_GBK" w:hAnsi="方正黑体_GBK" w:eastAsia="方正黑体_GBK" w:cs="方正黑体_GBK"/>
          <w:b/>
          <w:bCs/>
          <w:color w:val="auto"/>
          <w:w w:val="100"/>
          <w:sz w:val="32"/>
          <w:szCs w:val="32"/>
          <w:highlight w:val="none"/>
          <w:lang w:val="en-US" w:eastAsia="zh-CN"/>
        </w:rPr>
        <w:t>二、一般公共预算支出情况</w:t>
      </w:r>
    </w:p>
    <w:p w14:paraId="6A0235D0">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rPr>
          <w:rFonts w:hint="default" w:ascii="仿宋" w:hAnsi="仿宋" w:eastAsia="仿宋" w:cs="仿宋"/>
          <w:color w:val="auto"/>
          <w:spacing w:val="-2"/>
          <w:w w:val="100"/>
          <w:kern w:val="2"/>
          <w:sz w:val="32"/>
          <w:szCs w:val="32"/>
          <w:lang w:val="en-US" w:eastAsia="zh-CN" w:bidi="ar-SA"/>
        </w:rPr>
      </w:pPr>
      <w:r>
        <w:rPr>
          <w:rFonts w:hint="default" w:ascii="仿宋" w:hAnsi="仿宋" w:eastAsia="仿宋" w:cs="仿宋"/>
          <w:color w:val="auto"/>
          <w:spacing w:val="-2"/>
          <w:w w:val="100"/>
          <w:kern w:val="2"/>
          <w:sz w:val="32"/>
          <w:szCs w:val="32"/>
          <w:lang w:val="en-US" w:eastAsia="zh-CN" w:bidi="ar-SA"/>
        </w:rPr>
        <w:t>（一）基本支出</w:t>
      </w:r>
    </w:p>
    <w:p w14:paraId="691A8AC3">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rPr>
          <w:w w:val="100"/>
        </w:rPr>
      </w:pPr>
      <w:r>
        <w:rPr>
          <w:rFonts w:ascii="仿宋" w:hAnsi="仿宋" w:eastAsia="仿宋" w:cs="仿宋"/>
          <w:color w:val="auto"/>
          <w:spacing w:val="-2"/>
          <w:w w:val="100"/>
          <w:kern w:val="2"/>
          <w:sz w:val="32"/>
          <w:szCs w:val="32"/>
          <w:lang w:val="en-US" w:eastAsia="zh-CN" w:bidi="ar-SA"/>
        </w:rPr>
        <w:t>基本支出系保障</w:t>
      </w:r>
      <w:r>
        <w:rPr>
          <w:rFonts w:hint="eastAsia" w:ascii="仿宋" w:hAnsi="仿宋" w:eastAsia="仿宋" w:cs="仿宋"/>
          <w:color w:val="auto"/>
          <w:spacing w:val="-2"/>
          <w:w w:val="100"/>
          <w:kern w:val="2"/>
          <w:sz w:val="32"/>
          <w:szCs w:val="32"/>
          <w:lang w:val="en-US" w:eastAsia="zh-CN" w:bidi="ar-SA"/>
        </w:rPr>
        <w:t>我中心</w:t>
      </w:r>
      <w:r>
        <w:rPr>
          <w:rFonts w:ascii="仿宋" w:hAnsi="仿宋" w:eastAsia="仿宋" w:cs="仿宋"/>
          <w:color w:val="auto"/>
          <w:spacing w:val="-2"/>
          <w:w w:val="100"/>
          <w:kern w:val="2"/>
          <w:sz w:val="32"/>
          <w:szCs w:val="32"/>
          <w:lang w:val="en-US" w:eastAsia="zh-CN" w:bidi="ar-SA"/>
        </w:rPr>
        <w:t>正常运转、完成日常工作任务而发生的</w:t>
      </w:r>
      <w:r>
        <w:rPr>
          <w:rFonts w:hint="eastAsia" w:ascii="仿宋" w:hAnsi="仿宋" w:eastAsia="仿宋" w:cs="仿宋"/>
          <w:color w:val="auto"/>
          <w:spacing w:val="-2"/>
          <w:w w:val="100"/>
          <w:kern w:val="2"/>
          <w:sz w:val="32"/>
          <w:szCs w:val="21"/>
          <w:lang w:val="en-US" w:eastAsia="zh-CN" w:bidi="ar-SA"/>
        </w:rPr>
        <w:t>人员经费和日常公用经费。</w:t>
      </w:r>
      <w:r>
        <w:rPr>
          <w:rFonts w:hint="eastAsia" w:ascii="仿宋" w:hAnsi="仿宋" w:eastAsia="仿宋" w:cs="Times New Roman"/>
          <w:spacing w:val="-2"/>
          <w:w w:val="100"/>
          <w:sz w:val="32"/>
          <w:szCs w:val="32"/>
        </w:rPr>
        <w:t>20</w:t>
      </w:r>
      <w:r>
        <w:rPr>
          <w:rFonts w:hint="eastAsia" w:ascii="仿宋" w:hAnsi="仿宋" w:eastAsia="仿宋" w:cs="Times New Roman"/>
          <w:spacing w:val="-2"/>
          <w:w w:val="100"/>
          <w:sz w:val="32"/>
          <w:szCs w:val="32"/>
          <w:lang w:val="en-US" w:eastAsia="zh-CN"/>
        </w:rPr>
        <w:t>24</w:t>
      </w:r>
      <w:r>
        <w:rPr>
          <w:rFonts w:hint="eastAsia" w:ascii="仿宋" w:hAnsi="仿宋" w:eastAsia="仿宋" w:cs="Times New Roman"/>
          <w:spacing w:val="-2"/>
          <w:w w:val="100"/>
          <w:sz w:val="32"/>
          <w:szCs w:val="32"/>
        </w:rPr>
        <w:t>年基本支出</w:t>
      </w:r>
      <w:r>
        <w:rPr>
          <w:rFonts w:hint="eastAsia" w:ascii="仿宋" w:hAnsi="仿宋" w:eastAsia="仿宋" w:cs="Times New Roman"/>
          <w:spacing w:val="-2"/>
          <w:w w:val="100"/>
          <w:sz w:val="32"/>
          <w:szCs w:val="32"/>
          <w:lang w:val="en-US" w:eastAsia="zh-CN"/>
        </w:rPr>
        <w:t>92.95</w:t>
      </w:r>
      <w:r>
        <w:rPr>
          <w:rFonts w:hint="eastAsia" w:ascii="仿宋" w:hAnsi="仿宋" w:eastAsia="仿宋" w:cs="Times New Roman"/>
          <w:spacing w:val="-2"/>
          <w:w w:val="100"/>
          <w:sz w:val="32"/>
          <w:szCs w:val="32"/>
        </w:rPr>
        <w:t>万元</w:t>
      </w:r>
      <w:r>
        <w:rPr>
          <w:rFonts w:hint="eastAsia" w:ascii="仿宋" w:hAnsi="仿宋" w:eastAsia="仿宋" w:cs="Times New Roman"/>
          <w:spacing w:val="-2"/>
          <w:w w:val="100"/>
          <w:sz w:val="32"/>
          <w:szCs w:val="32"/>
          <w:lang w:eastAsia="zh-CN"/>
        </w:rPr>
        <w:t>，</w:t>
      </w:r>
      <w:r>
        <w:rPr>
          <w:rFonts w:ascii="仿宋" w:hAnsi="仿宋" w:eastAsia="仿宋" w:cs="仿宋"/>
          <w:color w:val="auto"/>
          <w:spacing w:val="-2"/>
          <w:w w:val="100"/>
          <w:kern w:val="2"/>
          <w:sz w:val="32"/>
          <w:szCs w:val="32"/>
          <w:lang w:val="en-US" w:eastAsia="zh-CN" w:bidi="ar-SA"/>
        </w:rPr>
        <w:t>较</w:t>
      </w:r>
      <w:r>
        <w:rPr>
          <w:rFonts w:hint="eastAsia" w:ascii="仿宋" w:hAnsi="仿宋" w:eastAsia="仿宋" w:cs="仿宋"/>
          <w:color w:val="auto"/>
          <w:spacing w:val="-2"/>
          <w:w w:val="100"/>
          <w:kern w:val="2"/>
          <w:sz w:val="32"/>
          <w:szCs w:val="32"/>
          <w:lang w:val="en-US" w:eastAsia="zh-CN" w:bidi="ar-SA"/>
        </w:rPr>
        <w:t>上年增加5.09</w:t>
      </w:r>
      <w:r>
        <w:rPr>
          <w:rFonts w:ascii="仿宋" w:hAnsi="仿宋" w:eastAsia="仿宋" w:cs="仿宋"/>
          <w:color w:val="auto"/>
          <w:spacing w:val="-2"/>
          <w:w w:val="100"/>
          <w:kern w:val="2"/>
          <w:sz w:val="32"/>
          <w:szCs w:val="32"/>
          <w:lang w:val="en-US" w:eastAsia="zh-CN" w:bidi="ar-SA"/>
        </w:rPr>
        <w:t>万元，</w:t>
      </w:r>
      <w:r>
        <w:rPr>
          <w:rFonts w:hint="eastAsia" w:ascii="仿宋" w:hAnsi="仿宋" w:eastAsia="仿宋" w:cs="仿宋"/>
          <w:color w:val="auto"/>
          <w:spacing w:val="-2"/>
          <w:w w:val="100"/>
          <w:kern w:val="2"/>
          <w:sz w:val="32"/>
          <w:szCs w:val="32"/>
          <w:lang w:val="en-US" w:eastAsia="zh-CN" w:bidi="ar-SA"/>
        </w:rPr>
        <w:t>增长5.79</w:t>
      </w:r>
      <w:r>
        <w:rPr>
          <w:rFonts w:ascii="仿宋" w:hAnsi="仿宋" w:eastAsia="仿宋" w:cs="仿宋"/>
          <w:color w:val="auto"/>
          <w:spacing w:val="-2"/>
          <w:w w:val="100"/>
          <w:kern w:val="2"/>
          <w:sz w:val="32"/>
          <w:szCs w:val="32"/>
          <w:lang w:val="en-US" w:eastAsia="zh-CN" w:bidi="ar-SA"/>
        </w:rPr>
        <w:t>%</w:t>
      </w:r>
      <w:r>
        <w:rPr>
          <w:rFonts w:hint="eastAsia" w:ascii="仿宋" w:hAnsi="仿宋" w:eastAsia="仿宋" w:cs="仿宋"/>
          <w:color w:val="auto"/>
          <w:spacing w:val="-2"/>
          <w:w w:val="100"/>
          <w:kern w:val="2"/>
          <w:sz w:val="32"/>
          <w:szCs w:val="32"/>
          <w:lang w:val="en-US" w:eastAsia="zh-CN" w:bidi="ar-SA"/>
        </w:rPr>
        <w:t>，主要</w:t>
      </w:r>
      <w:r>
        <w:rPr>
          <w:rFonts w:hint="eastAsia" w:ascii="仿宋" w:hAnsi="仿宋" w:eastAsia="仿宋" w:cs="仿宋"/>
          <w:spacing w:val="-2"/>
          <w:w w:val="100"/>
          <w:sz w:val="32"/>
          <w:szCs w:val="32"/>
        </w:rPr>
        <w:t>是</w:t>
      </w:r>
      <w:r>
        <w:rPr>
          <w:rFonts w:hint="eastAsia" w:ascii="仿宋" w:hAnsi="仿宋" w:eastAsia="仿宋" w:cs="仿宋"/>
          <w:spacing w:val="-2"/>
          <w:w w:val="100"/>
          <w:sz w:val="32"/>
          <w:szCs w:val="32"/>
          <w:lang w:val="en-US" w:eastAsia="zh-CN"/>
        </w:rPr>
        <w:t>因为2024年在职人员公开招聘1人、政策性安置1人</w:t>
      </w:r>
      <w:r>
        <w:rPr>
          <w:rFonts w:ascii="仿宋" w:hAnsi="仿宋" w:eastAsia="仿宋" w:cs="仿宋"/>
          <w:color w:val="auto"/>
          <w:spacing w:val="-2"/>
          <w:w w:val="100"/>
          <w:kern w:val="2"/>
          <w:sz w:val="32"/>
          <w:szCs w:val="32"/>
          <w:lang w:val="en-US" w:eastAsia="zh-CN" w:bidi="ar-SA"/>
        </w:rPr>
        <w:t>。</w:t>
      </w:r>
    </w:p>
    <w:p w14:paraId="0EB4F154">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rPr>
          <w:w w:val="100"/>
        </w:rPr>
      </w:pPr>
      <w:r>
        <w:rPr>
          <w:rFonts w:hint="eastAsia" w:ascii="仿宋" w:hAnsi="仿宋" w:eastAsia="仿宋" w:cs="仿宋"/>
          <w:spacing w:val="-2"/>
          <w:w w:val="100"/>
          <w:sz w:val="32"/>
          <w:szCs w:val="32"/>
          <w:lang w:val="en-US" w:eastAsia="zh-CN"/>
        </w:rPr>
        <w:t>1.</w:t>
      </w:r>
      <w:r>
        <w:rPr>
          <w:rFonts w:hint="eastAsia" w:ascii="仿宋" w:hAnsi="仿宋" w:eastAsia="仿宋" w:cs="仿宋"/>
          <w:spacing w:val="-2"/>
          <w:w w:val="100"/>
          <w:sz w:val="32"/>
          <w:szCs w:val="32"/>
        </w:rPr>
        <w:t>人员经费。人员经费92.95</w:t>
      </w:r>
      <w:r>
        <w:rPr>
          <w:rFonts w:hint="eastAsia" w:ascii="仿宋" w:hAnsi="仿宋" w:eastAsia="仿宋" w:cs="仿宋"/>
          <w:color w:val="auto"/>
          <w:spacing w:val="-2"/>
          <w:w w:val="100"/>
          <w:kern w:val="2"/>
          <w:sz w:val="32"/>
          <w:szCs w:val="32"/>
          <w:lang w:val="en-US" w:eastAsia="zh-CN" w:bidi="ar-SA"/>
        </w:rPr>
        <w:t>万</w:t>
      </w:r>
      <w:r>
        <w:rPr>
          <w:rFonts w:hint="eastAsia" w:ascii="仿宋" w:hAnsi="仿宋" w:eastAsia="仿宋" w:cs="仿宋"/>
          <w:spacing w:val="-2"/>
          <w:w w:val="100"/>
          <w:sz w:val="32"/>
          <w:szCs w:val="32"/>
        </w:rPr>
        <w:t>元，占基本支出的</w:t>
      </w:r>
      <w:r>
        <w:rPr>
          <w:rFonts w:hint="eastAsia" w:ascii="仿宋" w:hAnsi="仿宋" w:eastAsia="仿宋" w:cs="仿宋"/>
          <w:color w:val="auto"/>
          <w:spacing w:val="-2"/>
          <w:w w:val="100"/>
          <w:kern w:val="2"/>
          <w:sz w:val="32"/>
          <w:szCs w:val="32"/>
          <w:lang w:val="en-US" w:eastAsia="zh-CN" w:bidi="ar-SA"/>
        </w:rPr>
        <w:t>100</w:t>
      </w:r>
      <w:r>
        <w:rPr>
          <w:rFonts w:hint="eastAsia" w:ascii="仿宋" w:hAnsi="仿宋" w:eastAsia="仿宋" w:cs="仿宋"/>
          <w:spacing w:val="-2"/>
          <w:w w:val="100"/>
          <w:sz w:val="32"/>
          <w:szCs w:val="32"/>
        </w:rPr>
        <w:t>%，较</w:t>
      </w:r>
      <w:r>
        <w:rPr>
          <w:rFonts w:hint="eastAsia" w:ascii="仿宋" w:hAnsi="仿宋" w:eastAsia="仿宋" w:cs="仿宋"/>
          <w:spacing w:val="-2"/>
          <w:w w:val="100"/>
          <w:sz w:val="32"/>
          <w:szCs w:val="32"/>
          <w:lang w:val="en-US" w:eastAsia="zh-CN"/>
        </w:rPr>
        <w:t>上年增加7.33万元，增长8.56</w:t>
      </w:r>
      <w:r>
        <w:rPr>
          <w:rFonts w:hint="eastAsia" w:ascii="仿宋" w:hAnsi="仿宋" w:eastAsia="仿宋" w:cs="仿宋"/>
          <w:spacing w:val="-2"/>
          <w:w w:val="100"/>
          <w:sz w:val="32"/>
          <w:szCs w:val="32"/>
        </w:rPr>
        <w:t>%，主要是</w:t>
      </w:r>
      <w:r>
        <w:rPr>
          <w:rFonts w:hint="eastAsia" w:ascii="仿宋" w:hAnsi="仿宋" w:eastAsia="仿宋" w:cs="仿宋"/>
          <w:spacing w:val="-2"/>
          <w:w w:val="100"/>
          <w:sz w:val="32"/>
          <w:szCs w:val="32"/>
          <w:lang w:val="en-US" w:eastAsia="zh-CN"/>
        </w:rPr>
        <w:t>因为2024年在职人员增加2人，工资福利支出支出增加</w:t>
      </w:r>
      <w:r>
        <w:rPr>
          <w:rFonts w:hint="eastAsia" w:ascii="仿宋" w:hAnsi="仿宋" w:eastAsia="仿宋" w:cs="仿宋"/>
          <w:spacing w:val="-2"/>
          <w:w w:val="100"/>
          <w:sz w:val="32"/>
          <w:szCs w:val="32"/>
        </w:rPr>
        <w:t>。</w:t>
      </w:r>
    </w:p>
    <w:p w14:paraId="7DC37E4B">
      <w:pPr>
        <w:keepNext w:val="0"/>
        <w:keepLines w:val="0"/>
        <w:pageBreakBefore w:val="0"/>
        <w:widowControl/>
        <w:shd w:val="clear" w:color="auto" w:fill="FFFFFF"/>
        <w:kinsoku/>
        <w:wordWrap/>
        <w:overflowPunct/>
        <w:topLinePunct w:val="0"/>
        <w:autoSpaceDE/>
        <w:autoSpaceDN/>
        <w:bidi w:val="0"/>
        <w:adjustRightInd/>
        <w:spacing w:line="520" w:lineRule="exact"/>
        <w:ind w:left="0" w:right="0" w:firstLine="632" w:firstLineChars="200"/>
        <w:textAlignment w:val="auto"/>
        <w:rPr>
          <w:rFonts w:hint="eastAsia" w:hAnsi="仿宋" w:eastAsia="仿宋"/>
          <w:spacing w:val="-2"/>
          <w:w w:val="100"/>
          <w:sz w:val="32"/>
          <w:szCs w:val="32"/>
          <w:lang w:eastAsia="zh-CN"/>
        </w:rPr>
      </w:pPr>
      <w:r>
        <w:rPr>
          <w:rFonts w:hint="eastAsia" w:ascii="仿宋" w:hAnsi="仿宋" w:eastAsia="仿宋" w:cs="仿宋"/>
          <w:spacing w:val="-2"/>
          <w:w w:val="100"/>
          <w:sz w:val="32"/>
          <w:szCs w:val="32"/>
          <w:lang w:eastAsia="zh-CN"/>
        </w:rPr>
        <w:t>（</w:t>
      </w:r>
      <w:r>
        <w:rPr>
          <w:rFonts w:hint="eastAsia" w:ascii="仿宋" w:hAnsi="仿宋" w:eastAsia="仿宋" w:cs="仿宋"/>
          <w:spacing w:val="-2"/>
          <w:w w:val="100"/>
          <w:sz w:val="32"/>
          <w:szCs w:val="32"/>
          <w:lang w:val="en-US" w:eastAsia="zh-CN"/>
        </w:rPr>
        <w:t>1</w:t>
      </w:r>
      <w:r>
        <w:rPr>
          <w:rFonts w:hint="eastAsia" w:ascii="仿宋" w:hAnsi="仿宋" w:eastAsia="仿宋" w:cs="仿宋"/>
          <w:spacing w:val="-2"/>
          <w:w w:val="100"/>
          <w:sz w:val="32"/>
          <w:szCs w:val="32"/>
          <w:lang w:eastAsia="zh-CN"/>
        </w:rPr>
        <w:t>）</w:t>
      </w:r>
      <w:r>
        <w:rPr>
          <w:rFonts w:hint="eastAsia" w:ascii="仿宋" w:hAnsi="仿宋" w:eastAsia="仿宋" w:cs="仿宋"/>
          <w:spacing w:val="-2"/>
          <w:w w:val="100"/>
          <w:sz w:val="32"/>
          <w:szCs w:val="32"/>
        </w:rPr>
        <w:t>工资福利支出</w:t>
      </w:r>
      <w:r>
        <w:rPr>
          <w:rFonts w:hint="eastAsia" w:ascii="仿宋" w:hAnsi="仿宋" w:eastAsia="仿宋" w:cs="仿宋"/>
          <w:spacing w:val="-2"/>
          <w:w w:val="100"/>
          <w:sz w:val="32"/>
          <w:szCs w:val="32"/>
          <w:lang w:val="en-US" w:eastAsia="zh-CN"/>
        </w:rPr>
        <w:t>164.35</w:t>
      </w:r>
      <w:r>
        <w:rPr>
          <w:rFonts w:hint="eastAsia" w:ascii="仿宋" w:hAnsi="仿宋" w:eastAsia="仿宋" w:cs="仿宋"/>
          <w:spacing w:val="-2"/>
          <w:w w:val="100"/>
          <w:sz w:val="32"/>
          <w:szCs w:val="32"/>
        </w:rPr>
        <w:t>万元</w:t>
      </w:r>
      <w:r>
        <w:rPr>
          <w:rFonts w:hint="eastAsia" w:ascii="仿宋" w:hAnsi="仿宋" w:eastAsia="仿宋" w:cs="仿宋"/>
          <w:spacing w:val="-2"/>
          <w:w w:val="100"/>
          <w:sz w:val="32"/>
          <w:szCs w:val="32"/>
          <w:lang w:eastAsia="zh-CN"/>
        </w:rPr>
        <w:t>，</w:t>
      </w:r>
      <w:r>
        <w:rPr>
          <w:rFonts w:hint="eastAsia" w:ascii="仿宋" w:hAnsi="仿宋" w:eastAsia="仿宋" w:cs="仿宋"/>
          <w:spacing w:val="-2"/>
          <w:w w:val="100"/>
          <w:sz w:val="32"/>
          <w:szCs w:val="32"/>
        </w:rPr>
        <w:t>主要包括在职人员</w:t>
      </w:r>
      <w:r>
        <w:rPr>
          <w:rFonts w:hAnsi="仿宋" w:eastAsia="仿宋"/>
          <w:spacing w:val="-2"/>
          <w:w w:val="100"/>
          <w:sz w:val="32"/>
          <w:szCs w:val="32"/>
        </w:rPr>
        <w:t>基本工资、津贴补贴、奖金、</w:t>
      </w:r>
      <w:r>
        <w:rPr>
          <w:rFonts w:hint="eastAsia" w:hAnsi="仿宋" w:eastAsia="仿宋"/>
          <w:spacing w:val="-2"/>
          <w:w w:val="100"/>
          <w:sz w:val="32"/>
          <w:szCs w:val="32"/>
        </w:rPr>
        <w:t>绩效工资</w:t>
      </w:r>
      <w:r>
        <w:rPr>
          <w:rFonts w:hint="eastAsia" w:hAnsi="仿宋" w:eastAsia="仿宋"/>
          <w:spacing w:val="-2"/>
          <w:w w:val="100"/>
          <w:sz w:val="32"/>
          <w:szCs w:val="32"/>
          <w:lang w:eastAsia="zh-CN"/>
        </w:rPr>
        <w:t>、</w:t>
      </w:r>
      <w:r>
        <w:rPr>
          <w:rFonts w:hAnsi="仿宋" w:eastAsia="仿宋"/>
          <w:spacing w:val="-2"/>
          <w:w w:val="100"/>
          <w:sz w:val="32"/>
          <w:szCs w:val="32"/>
        </w:rPr>
        <w:t>机关事业单位基本养老保险缴费、</w:t>
      </w:r>
      <w:r>
        <w:rPr>
          <w:rFonts w:hint="eastAsia" w:hAnsi="仿宋" w:eastAsia="仿宋"/>
          <w:spacing w:val="-2"/>
          <w:w w:val="100"/>
          <w:sz w:val="32"/>
          <w:szCs w:val="32"/>
        </w:rPr>
        <w:t>职业年金缴费</w:t>
      </w:r>
      <w:r>
        <w:rPr>
          <w:rFonts w:hint="eastAsia" w:hAnsi="仿宋" w:eastAsia="仿宋"/>
          <w:spacing w:val="-2"/>
          <w:w w:val="100"/>
          <w:sz w:val="32"/>
          <w:szCs w:val="32"/>
          <w:lang w:eastAsia="zh-CN"/>
        </w:rPr>
        <w:t>、</w:t>
      </w:r>
      <w:r>
        <w:rPr>
          <w:rFonts w:hAnsi="仿宋" w:eastAsia="仿宋"/>
          <w:spacing w:val="-2"/>
          <w:w w:val="100"/>
          <w:sz w:val="32"/>
          <w:szCs w:val="32"/>
        </w:rPr>
        <w:t>职工基本医疗保险缴费、其他社会保障缴费</w:t>
      </w:r>
      <w:r>
        <w:rPr>
          <w:rFonts w:hint="eastAsia" w:hAnsi="仿宋" w:eastAsia="仿宋"/>
          <w:spacing w:val="-2"/>
          <w:w w:val="100"/>
          <w:sz w:val="32"/>
          <w:szCs w:val="32"/>
          <w:lang w:eastAsia="zh-CN"/>
        </w:rPr>
        <w:t>、</w:t>
      </w:r>
      <w:r>
        <w:rPr>
          <w:rFonts w:hint="eastAsia" w:hAnsi="仿宋" w:eastAsia="仿宋"/>
          <w:spacing w:val="-2"/>
          <w:w w:val="100"/>
          <w:sz w:val="32"/>
          <w:szCs w:val="32"/>
          <w:lang w:val="en-US" w:eastAsia="zh-CN"/>
        </w:rPr>
        <w:t>住房公积金等支出</w:t>
      </w:r>
      <w:r>
        <w:rPr>
          <w:rFonts w:hint="eastAsia" w:hAnsi="仿宋" w:eastAsia="仿宋"/>
          <w:spacing w:val="-2"/>
          <w:w w:val="100"/>
          <w:sz w:val="32"/>
          <w:szCs w:val="32"/>
          <w:lang w:eastAsia="zh-CN"/>
        </w:rPr>
        <w:t>。</w:t>
      </w:r>
    </w:p>
    <w:p w14:paraId="749532C6">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rPr>
          <w:w w:val="100"/>
        </w:rPr>
      </w:pPr>
      <w:r>
        <w:rPr>
          <w:rFonts w:hint="eastAsia" w:ascii="仿宋" w:hAnsi="仿宋" w:eastAsia="仿宋" w:cs="仿宋"/>
          <w:spacing w:val="-2"/>
          <w:w w:val="100"/>
          <w:sz w:val="32"/>
          <w:szCs w:val="32"/>
          <w:lang w:eastAsia="zh-CN"/>
        </w:rPr>
        <w:t>（</w:t>
      </w:r>
      <w:r>
        <w:rPr>
          <w:rFonts w:hint="eastAsia" w:ascii="仿宋" w:hAnsi="仿宋" w:eastAsia="仿宋" w:cs="仿宋"/>
          <w:spacing w:val="-2"/>
          <w:w w:val="100"/>
          <w:sz w:val="32"/>
          <w:szCs w:val="32"/>
          <w:lang w:val="en-US" w:eastAsia="zh-CN"/>
        </w:rPr>
        <w:t>2</w:t>
      </w:r>
      <w:r>
        <w:rPr>
          <w:rFonts w:hint="eastAsia" w:ascii="仿宋" w:hAnsi="仿宋" w:eastAsia="仿宋" w:cs="仿宋"/>
          <w:spacing w:val="-2"/>
          <w:w w:val="100"/>
          <w:sz w:val="32"/>
          <w:szCs w:val="32"/>
          <w:lang w:eastAsia="zh-CN"/>
        </w:rPr>
        <w:t>）</w:t>
      </w:r>
      <w:r>
        <w:rPr>
          <w:rFonts w:hint="eastAsia" w:ascii="仿宋" w:hAnsi="仿宋" w:eastAsia="仿宋" w:cs="仿宋"/>
          <w:spacing w:val="-2"/>
          <w:w w:val="100"/>
          <w:sz w:val="32"/>
          <w:szCs w:val="32"/>
        </w:rPr>
        <w:t>对个人和家庭补助支出</w:t>
      </w:r>
      <w:r>
        <w:rPr>
          <w:rFonts w:hint="eastAsia" w:ascii="仿宋" w:hAnsi="仿宋" w:eastAsia="仿宋" w:cs="仿宋"/>
          <w:color w:val="auto"/>
          <w:spacing w:val="-2"/>
          <w:w w:val="100"/>
          <w:kern w:val="2"/>
          <w:sz w:val="32"/>
          <w:szCs w:val="32"/>
          <w:lang w:val="en-US" w:eastAsia="zh-CN" w:bidi="ar-SA"/>
        </w:rPr>
        <w:t>3.03</w:t>
      </w:r>
      <w:r>
        <w:rPr>
          <w:rFonts w:hint="eastAsia" w:ascii="仿宋" w:hAnsi="仿宋" w:eastAsia="仿宋" w:cs="仿宋"/>
          <w:spacing w:val="-2"/>
          <w:w w:val="100"/>
          <w:sz w:val="32"/>
          <w:szCs w:val="32"/>
        </w:rPr>
        <w:t>万元。主要</w:t>
      </w:r>
      <w:r>
        <w:rPr>
          <w:rFonts w:hint="eastAsia" w:ascii="仿宋" w:hAnsi="仿宋" w:eastAsia="仿宋" w:cs="仿宋"/>
          <w:spacing w:val="-2"/>
          <w:w w:val="100"/>
          <w:sz w:val="32"/>
          <w:szCs w:val="32"/>
          <w:lang w:val="en-US" w:eastAsia="zh-CN"/>
        </w:rPr>
        <w:t>为</w:t>
      </w:r>
      <w:r>
        <w:rPr>
          <w:rFonts w:hint="eastAsia" w:ascii="仿宋" w:hAnsi="仿宋" w:eastAsia="仿宋" w:cs="仿宋"/>
          <w:spacing w:val="-2"/>
          <w:w w:val="100"/>
          <w:sz w:val="32"/>
          <w:szCs w:val="32"/>
        </w:rPr>
        <w:t>生活补助。</w:t>
      </w:r>
    </w:p>
    <w:p w14:paraId="41DA01F9">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rPr>
          <w:rFonts w:hint="eastAsia" w:ascii="仿宋" w:hAnsi="仿宋" w:eastAsia="仿宋" w:cs="仿宋"/>
          <w:spacing w:val="-2"/>
          <w:w w:val="100"/>
          <w:sz w:val="32"/>
          <w:szCs w:val="32"/>
          <w:lang w:val="en-US" w:eastAsia="zh-CN"/>
        </w:rPr>
      </w:pPr>
      <w:r>
        <w:rPr>
          <w:rFonts w:hint="eastAsia" w:ascii="仿宋" w:hAnsi="仿宋" w:eastAsia="仿宋" w:cs="仿宋"/>
          <w:spacing w:val="-2"/>
          <w:w w:val="100"/>
          <w:sz w:val="32"/>
          <w:szCs w:val="32"/>
          <w:lang w:val="en-US" w:eastAsia="zh-CN"/>
        </w:rPr>
        <w:t>2.</w:t>
      </w:r>
      <w:r>
        <w:rPr>
          <w:rFonts w:hint="eastAsia" w:ascii="仿宋" w:hAnsi="仿宋" w:eastAsia="仿宋" w:cs="仿宋"/>
          <w:spacing w:val="-2"/>
          <w:w w:val="100"/>
          <w:sz w:val="32"/>
          <w:szCs w:val="32"/>
        </w:rPr>
        <w:t>日常公用经费。日常公用经费</w:t>
      </w:r>
      <w:r>
        <w:rPr>
          <w:rFonts w:hint="eastAsia" w:ascii="仿宋" w:hAnsi="仿宋" w:eastAsia="仿宋" w:cs="仿宋"/>
          <w:color w:val="auto"/>
          <w:spacing w:val="-2"/>
          <w:w w:val="100"/>
          <w:kern w:val="2"/>
          <w:sz w:val="32"/>
          <w:szCs w:val="32"/>
          <w:lang w:val="en-US" w:eastAsia="zh-CN" w:bidi="ar-SA"/>
        </w:rPr>
        <w:t>0</w:t>
      </w:r>
      <w:r>
        <w:rPr>
          <w:rFonts w:hint="eastAsia" w:ascii="仿宋" w:hAnsi="仿宋" w:eastAsia="仿宋" w:cs="仿宋"/>
          <w:spacing w:val="-2"/>
          <w:w w:val="100"/>
          <w:sz w:val="32"/>
          <w:szCs w:val="32"/>
        </w:rPr>
        <w:t>万元，</w:t>
      </w:r>
      <w:r>
        <w:rPr>
          <w:rFonts w:hint="eastAsia" w:ascii="仿宋" w:hAnsi="仿宋" w:eastAsia="仿宋" w:cs="仿宋"/>
          <w:color w:val="auto"/>
          <w:spacing w:val="-2"/>
          <w:w w:val="100"/>
          <w:kern w:val="2"/>
          <w:sz w:val="32"/>
          <w:szCs w:val="32"/>
          <w:lang w:val="en-US" w:eastAsia="zh-CN" w:bidi="ar-SA"/>
        </w:rPr>
        <w:t>较上年减少2.25万元，</w:t>
      </w:r>
      <w:r>
        <w:rPr>
          <w:rFonts w:hint="eastAsia" w:ascii="仿宋" w:hAnsi="仿宋" w:eastAsia="仿宋" w:cs="仿宋"/>
          <w:spacing w:val="-2"/>
          <w:w w:val="100"/>
          <w:sz w:val="32"/>
          <w:szCs w:val="32"/>
        </w:rPr>
        <w:t>主要是</w:t>
      </w:r>
      <w:r>
        <w:rPr>
          <w:rFonts w:hint="eastAsia" w:ascii="仿宋" w:hAnsi="仿宋" w:eastAsia="仿宋" w:cs="仿宋"/>
          <w:spacing w:val="-2"/>
          <w:w w:val="100"/>
          <w:sz w:val="32"/>
          <w:szCs w:val="32"/>
          <w:lang w:val="en-US" w:eastAsia="zh-CN"/>
        </w:rPr>
        <w:t>因为我单位为差额拨款单位，财政保障在职人员部分工资、奖金及住房公积金，年初预算编制公用经费来源于其他收入，预算与实际执行存在差异。</w:t>
      </w:r>
    </w:p>
    <w:p w14:paraId="2620C474">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rPr>
          <w:rFonts w:hint="default" w:ascii="仿宋" w:hAnsi="仿宋" w:eastAsia="仿宋" w:cs="仿宋"/>
          <w:spacing w:val="-2"/>
          <w:w w:val="100"/>
          <w:sz w:val="32"/>
          <w:szCs w:val="32"/>
        </w:rPr>
      </w:pPr>
      <w:r>
        <w:rPr>
          <w:rFonts w:hint="eastAsia" w:ascii="仿宋" w:hAnsi="仿宋" w:eastAsia="仿宋" w:cs="仿宋"/>
          <w:spacing w:val="-2"/>
          <w:w w:val="100"/>
          <w:sz w:val="32"/>
          <w:szCs w:val="32"/>
          <w:lang w:val="en-US" w:eastAsia="zh-CN"/>
        </w:rPr>
        <w:t>3.“</w:t>
      </w:r>
      <w:r>
        <w:rPr>
          <w:rFonts w:hint="default" w:ascii="仿宋" w:hAnsi="仿宋" w:eastAsia="仿宋" w:cs="仿宋"/>
          <w:spacing w:val="-2"/>
          <w:w w:val="100"/>
          <w:sz w:val="32"/>
          <w:szCs w:val="32"/>
        </w:rPr>
        <w:t>三公</w:t>
      </w:r>
      <w:r>
        <w:rPr>
          <w:rFonts w:hint="eastAsia" w:ascii="仿宋" w:hAnsi="仿宋" w:eastAsia="仿宋" w:cs="仿宋"/>
          <w:spacing w:val="-2"/>
          <w:w w:val="100"/>
          <w:sz w:val="32"/>
          <w:szCs w:val="32"/>
          <w:lang w:val="en-US" w:eastAsia="zh-CN"/>
        </w:rPr>
        <w:t>”</w:t>
      </w:r>
      <w:r>
        <w:rPr>
          <w:rFonts w:hint="default" w:ascii="仿宋" w:hAnsi="仿宋" w:eastAsia="仿宋" w:cs="仿宋"/>
          <w:spacing w:val="-2"/>
          <w:w w:val="100"/>
          <w:sz w:val="32"/>
          <w:szCs w:val="32"/>
        </w:rPr>
        <w:t>经费使用和管理情况</w:t>
      </w:r>
    </w:p>
    <w:p w14:paraId="603D3AD5">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rPr>
          <w:rFonts w:hint="default" w:ascii="仿宋" w:hAnsi="仿宋" w:eastAsia="仿宋" w:cs="仿宋"/>
          <w:spacing w:val="-2"/>
          <w:w w:val="100"/>
          <w:sz w:val="32"/>
          <w:szCs w:val="32"/>
          <w:highlight w:val="yellow"/>
          <w:lang w:val="en-US" w:eastAsia="zh-CN"/>
        </w:rPr>
      </w:pPr>
      <w:r>
        <w:rPr>
          <w:rFonts w:hint="eastAsia" w:ascii="仿宋" w:hAnsi="仿宋" w:eastAsia="仿宋" w:cs="仿宋"/>
          <w:spacing w:val="-2"/>
          <w:w w:val="100"/>
          <w:sz w:val="32"/>
          <w:szCs w:val="32"/>
        </w:rPr>
        <w:t>202</w:t>
      </w:r>
      <w:r>
        <w:rPr>
          <w:rFonts w:hint="eastAsia" w:ascii="仿宋" w:hAnsi="仿宋" w:eastAsia="仿宋" w:cs="仿宋"/>
          <w:spacing w:val="-2"/>
          <w:w w:val="100"/>
          <w:sz w:val="32"/>
          <w:szCs w:val="32"/>
          <w:lang w:val="en-US" w:eastAsia="zh-CN"/>
        </w:rPr>
        <w:t>4</w:t>
      </w:r>
      <w:r>
        <w:rPr>
          <w:rFonts w:hint="eastAsia" w:ascii="仿宋" w:hAnsi="仿宋" w:eastAsia="仿宋" w:cs="仿宋"/>
          <w:spacing w:val="-2"/>
          <w:w w:val="100"/>
          <w:sz w:val="32"/>
          <w:szCs w:val="32"/>
        </w:rPr>
        <w:t>年“三公”经费预算为</w:t>
      </w:r>
      <w:r>
        <w:rPr>
          <w:rFonts w:hint="eastAsia" w:ascii="仿宋" w:hAnsi="仿宋" w:eastAsia="仿宋" w:cs="仿宋"/>
          <w:spacing w:val="-2"/>
          <w:w w:val="100"/>
          <w:sz w:val="32"/>
          <w:szCs w:val="32"/>
          <w:lang w:val="en-US" w:eastAsia="zh-CN"/>
        </w:rPr>
        <w:t>2.50</w:t>
      </w:r>
      <w:r>
        <w:rPr>
          <w:rFonts w:hint="eastAsia" w:ascii="仿宋" w:hAnsi="仿宋" w:eastAsia="仿宋" w:cs="仿宋"/>
          <w:spacing w:val="-2"/>
          <w:w w:val="100"/>
          <w:sz w:val="32"/>
          <w:szCs w:val="32"/>
        </w:rPr>
        <w:t>万元</w:t>
      </w:r>
      <w:r>
        <w:rPr>
          <w:rFonts w:hint="eastAsia" w:ascii="仿宋" w:hAnsi="仿宋" w:eastAsia="仿宋" w:cs="仿宋"/>
          <w:spacing w:val="-2"/>
          <w:w w:val="100"/>
          <w:sz w:val="32"/>
          <w:szCs w:val="32"/>
          <w:lang w:eastAsia="zh-CN"/>
        </w:rPr>
        <w:t>，</w:t>
      </w:r>
      <w:r>
        <w:rPr>
          <w:rFonts w:hint="eastAsia" w:ascii="仿宋" w:hAnsi="仿宋" w:eastAsia="仿宋" w:cs="仿宋"/>
          <w:spacing w:val="-2"/>
          <w:w w:val="100"/>
          <w:sz w:val="32"/>
          <w:szCs w:val="32"/>
        </w:rPr>
        <w:t>其中</w:t>
      </w:r>
      <w:r>
        <w:rPr>
          <w:rFonts w:hint="eastAsia" w:ascii="仿宋" w:hAnsi="仿宋" w:eastAsia="仿宋" w:cs="仿宋"/>
          <w:spacing w:val="-2"/>
          <w:w w:val="100"/>
          <w:sz w:val="32"/>
          <w:szCs w:val="32"/>
          <w:lang w:eastAsia="zh-CN"/>
        </w:rPr>
        <w:t>：</w:t>
      </w:r>
      <w:r>
        <w:rPr>
          <w:rFonts w:hint="eastAsia" w:ascii="仿宋" w:hAnsi="仿宋" w:eastAsia="仿宋" w:cs="仿宋"/>
          <w:spacing w:val="-2"/>
          <w:w w:val="100"/>
          <w:sz w:val="32"/>
          <w:szCs w:val="32"/>
        </w:rPr>
        <w:t>因公出国(境)费预算0万元</w:t>
      </w:r>
      <w:r>
        <w:rPr>
          <w:rFonts w:hint="eastAsia" w:ascii="仿宋" w:hAnsi="仿宋" w:eastAsia="仿宋" w:cs="仿宋"/>
          <w:spacing w:val="-2"/>
          <w:w w:val="100"/>
          <w:sz w:val="32"/>
          <w:szCs w:val="32"/>
          <w:lang w:eastAsia="zh-CN"/>
        </w:rPr>
        <w:t>，</w:t>
      </w:r>
      <w:r>
        <w:rPr>
          <w:rFonts w:hint="eastAsia" w:ascii="仿宋" w:hAnsi="仿宋" w:eastAsia="仿宋" w:cs="仿宋"/>
          <w:spacing w:val="-2"/>
          <w:w w:val="100"/>
          <w:sz w:val="32"/>
          <w:szCs w:val="32"/>
        </w:rPr>
        <w:t>公务用车购置费</w:t>
      </w:r>
      <w:r>
        <w:rPr>
          <w:rFonts w:hint="eastAsia" w:ascii="仿宋" w:hAnsi="仿宋" w:eastAsia="仿宋" w:cs="仿宋"/>
          <w:spacing w:val="-2"/>
          <w:w w:val="100"/>
          <w:sz w:val="32"/>
          <w:szCs w:val="32"/>
          <w:lang w:val="en-US" w:eastAsia="zh-CN"/>
        </w:rPr>
        <w:t>0万元，</w:t>
      </w:r>
      <w:r>
        <w:rPr>
          <w:rFonts w:hint="eastAsia" w:ascii="仿宋" w:hAnsi="仿宋" w:eastAsia="仿宋" w:cs="仿宋"/>
          <w:spacing w:val="-2"/>
          <w:w w:val="100"/>
          <w:sz w:val="32"/>
          <w:szCs w:val="32"/>
        </w:rPr>
        <w:t>公务用车运行维护费</w:t>
      </w:r>
      <w:r>
        <w:rPr>
          <w:rFonts w:hint="eastAsia" w:ascii="仿宋" w:hAnsi="仿宋" w:eastAsia="仿宋" w:cs="仿宋"/>
          <w:spacing w:val="-2"/>
          <w:w w:val="100"/>
          <w:sz w:val="32"/>
          <w:szCs w:val="32"/>
          <w:lang w:val="en-US" w:eastAsia="zh-CN"/>
        </w:rPr>
        <w:t>2.50</w:t>
      </w:r>
      <w:r>
        <w:rPr>
          <w:rFonts w:hint="eastAsia" w:ascii="仿宋" w:hAnsi="仿宋" w:eastAsia="仿宋" w:cs="仿宋"/>
          <w:spacing w:val="-2"/>
          <w:w w:val="100"/>
          <w:sz w:val="32"/>
          <w:szCs w:val="32"/>
        </w:rPr>
        <w:t>万元，公务接待费</w:t>
      </w:r>
      <w:r>
        <w:rPr>
          <w:rFonts w:hint="eastAsia" w:ascii="仿宋" w:hAnsi="仿宋" w:eastAsia="仿宋" w:cs="仿宋"/>
          <w:spacing w:val="-2"/>
          <w:w w:val="100"/>
          <w:sz w:val="32"/>
          <w:szCs w:val="32"/>
          <w:lang w:val="en-US" w:eastAsia="zh-CN"/>
        </w:rPr>
        <w:t>0</w:t>
      </w:r>
      <w:r>
        <w:rPr>
          <w:rFonts w:hint="eastAsia" w:ascii="仿宋" w:hAnsi="仿宋" w:eastAsia="仿宋" w:cs="仿宋"/>
          <w:spacing w:val="-2"/>
          <w:w w:val="100"/>
          <w:sz w:val="32"/>
          <w:szCs w:val="32"/>
        </w:rPr>
        <w:t>万元。本年</w:t>
      </w:r>
      <w:r>
        <w:rPr>
          <w:rFonts w:hint="eastAsia" w:ascii="仿宋" w:hAnsi="仿宋" w:eastAsia="仿宋" w:cs="仿宋"/>
          <w:spacing w:val="-2"/>
          <w:w w:val="100"/>
          <w:sz w:val="32"/>
          <w:szCs w:val="32"/>
          <w:lang w:val="en-US" w:eastAsia="zh-CN"/>
        </w:rPr>
        <w:t>度</w:t>
      </w:r>
      <w:r>
        <w:rPr>
          <w:rFonts w:hint="eastAsia" w:ascii="仿宋" w:hAnsi="仿宋" w:eastAsia="仿宋" w:cs="仿宋"/>
          <w:spacing w:val="-2"/>
          <w:w w:val="100"/>
          <w:sz w:val="32"/>
          <w:szCs w:val="32"/>
        </w:rPr>
        <w:t>“三公”经费总支出</w:t>
      </w:r>
      <w:r>
        <w:rPr>
          <w:rFonts w:hint="eastAsia" w:ascii="仿宋" w:hAnsi="仿宋" w:eastAsia="仿宋" w:cs="仿宋"/>
          <w:spacing w:val="-2"/>
          <w:w w:val="100"/>
          <w:sz w:val="32"/>
          <w:szCs w:val="32"/>
          <w:lang w:val="en-US" w:eastAsia="zh-CN"/>
        </w:rPr>
        <w:t>1.78</w:t>
      </w:r>
      <w:r>
        <w:rPr>
          <w:rFonts w:hint="eastAsia" w:ascii="仿宋" w:hAnsi="仿宋" w:eastAsia="仿宋" w:cs="仿宋"/>
          <w:spacing w:val="-2"/>
          <w:w w:val="100"/>
          <w:sz w:val="32"/>
          <w:szCs w:val="32"/>
        </w:rPr>
        <w:t>万元</w:t>
      </w:r>
      <w:r>
        <w:rPr>
          <w:rFonts w:hint="eastAsia" w:ascii="仿宋" w:hAnsi="仿宋" w:eastAsia="仿宋" w:cs="仿宋"/>
          <w:spacing w:val="-2"/>
          <w:w w:val="100"/>
          <w:sz w:val="32"/>
          <w:szCs w:val="32"/>
          <w:lang w:eastAsia="zh-CN"/>
        </w:rPr>
        <w:t>（一般公共预算财政拨款基本支出</w:t>
      </w:r>
      <w:r>
        <w:rPr>
          <w:rFonts w:hint="eastAsia" w:ascii="仿宋" w:hAnsi="仿宋" w:eastAsia="仿宋" w:cs="仿宋"/>
          <w:spacing w:val="-2"/>
          <w:w w:val="100"/>
          <w:sz w:val="32"/>
          <w:szCs w:val="32"/>
          <w:lang w:val="en-US" w:eastAsia="zh-CN"/>
        </w:rPr>
        <w:t>0万元、项目支出1.78万元</w:t>
      </w:r>
      <w:r>
        <w:rPr>
          <w:rFonts w:hint="eastAsia" w:ascii="仿宋" w:hAnsi="仿宋" w:eastAsia="仿宋" w:cs="仿宋"/>
          <w:spacing w:val="-2"/>
          <w:w w:val="100"/>
          <w:sz w:val="32"/>
          <w:szCs w:val="32"/>
          <w:lang w:eastAsia="zh-CN"/>
        </w:rPr>
        <w:t>）</w:t>
      </w:r>
      <w:r>
        <w:rPr>
          <w:rFonts w:hint="eastAsia" w:ascii="仿宋" w:hAnsi="仿宋" w:eastAsia="仿宋" w:cs="仿宋"/>
          <w:spacing w:val="-2"/>
          <w:w w:val="100"/>
          <w:sz w:val="32"/>
          <w:szCs w:val="32"/>
        </w:rPr>
        <w:t>，其中</w:t>
      </w:r>
      <w:r>
        <w:rPr>
          <w:rFonts w:hint="eastAsia" w:ascii="仿宋" w:hAnsi="仿宋" w:eastAsia="仿宋" w:cs="仿宋"/>
          <w:spacing w:val="-2"/>
          <w:w w:val="100"/>
          <w:sz w:val="32"/>
          <w:szCs w:val="32"/>
          <w:lang w:eastAsia="zh-CN"/>
        </w:rPr>
        <w:t>：</w:t>
      </w:r>
      <w:r>
        <w:rPr>
          <w:rFonts w:hint="eastAsia" w:ascii="仿宋" w:hAnsi="仿宋" w:eastAsia="仿宋" w:cs="仿宋"/>
          <w:spacing w:val="-2"/>
          <w:w w:val="100"/>
          <w:sz w:val="32"/>
          <w:szCs w:val="32"/>
        </w:rPr>
        <w:t>因公出国(境)费0万元，公务用车购置费</w:t>
      </w:r>
      <w:r>
        <w:rPr>
          <w:rFonts w:hint="eastAsia" w:ascii="仿宋" w:hAnsi="仿宋" w:eastAsia="仿宋" w:cs="仿宋"/>
          <w:spacing w:val="-2"/>
          <w:w w:val="100"/>
          <w:sz w:val="32"/>
          <w:szCs w:val="32"/>
          <w:lang w:val="en-US" w:eastAsia="zh-CN"/>
        </w:rPr>
        <w:t>0万元，</w:t>
      </w:r>
      <w:r>
        <w:rPr>
          <w:rFonts w:hint="eastAsia" w:ascii="仿宋" w:hAnsi="仿宋" w:eastAsia="仿宋" w:cs="仿宋"/>
          <w:spacing w:val="-2"/>
          <w:w w:val="100"/>
          <w:sz w:val="32"/>
          <w:szCs w:val="32"/>
        </w:rPr>
        <w:t>公务用车运行维护费</w:t>
      </w:r>
      <w:r>
        <w:rPr>
          <w:rFonts w:hint="eastAsia" w:ascii="仿宋" w:hAnsi="仿宋" w:eastAsia="仿宋" w:cs="仿宋"/>
          <w:spacing w:val="-2"/>
          <w:w w:val="100"/>
          <w:sz w:val="32"/>
          <w:szCs w:val="32"/>
          <w:lang w:val="en-US" w:eastAsia="zh-CN"/>
        </w:rPr>
        <w:t>1.78</w:t>
      </w:r>
      <w:r>
        <w:rPr>
          <w:rFonts w:hint="eastAsia" w:ascii="仿宋" w:hAnsi="仿宋" w:eastAsia="仿宋" w:cs="仿宋"/>
          <w:spacing w:val="-2"/>
          <w:w w:val="100"/>
          <w:sz w:val="32"/>
          <w:szCs w:val="32"/>
        </w:rPr>
        <w:t>万元，公务接待费</w:t>
      </w:r>
      <w:r>
        <w:rPr>
          <w:rFonts w:hint="eastAsia" w:ascii="仿宋" w:hAnsi="仿宋" w:eastAsia="仿宋" w:cs="仿宋"/>
          <w:spacing w:val="-2"/>
          <w:w w:val="100"/>
          <w:sz w:val="32"/>
          <w:szCs w:val="32"/>
          <w:lang w:val="en-US" w:eastAsia="zh-CN"/>
        </w:rPr>
        <w:t>0</w:t>
      </w:r>
      <w:r>
        <w:rPr>
          <w:rFonts w:hint="eastAsia" w:ascii="仿宋" w:hAnsi="仿宋" w:eastAsia="仿宋" w:cs="仿宋"/>
          <w:spacing w:val="-2"/>
          <w:w w:val="100"/>
          <w:sz w:val="32"/>
          <w:szCs w:val="32"/>
        </w:rPr>
        <w:t>万元</w:t>
      </w:r>
      <w:r>
        <w:rPr>
          <w:rFonts w:hint="eastAsia" w:ascii="仿宋" w:hAnsi="仿宋" w:eastAsia="仿宋" w:cs="仿宋"/>
          <w:spacing w:val="-2"/>
          <w:w w:val="100"/>
          <w:sz w:val="32"/>
          <w:szCs w:val="32"/>
          <w:lang w:eastAsia="zh-CN"/>
        </w:rPr>
        <w:t>，</w:t>
      </w:r>
      <w:r>
        <w:rPr>
          <w:rFonts w:hint="eastAsia" w:ascii="仿宋" w:hAnsi="仿宋" w:eastAsia="仿宋" w:cs="仿宋"/>
          <w:spacing w:val="-2"/>
          <w:w w:val="100"/>
          <w:sz w:val="32"/>
          <w:szCs w:val="32"/>
          <w:lang w:val="en-US" w:eastAsia="zh-CN"/>
        </w:rPr>
        <w:t>完成预算的71.20%，决算数小于预算数的主要原因是严格控制安排“三公”经费，确保“三公”经费不超预算。</w:t>
      </w:r>
      <w:r>
        <w:rPr>
          <w:rFonts w:hint="eastAsia" w:ascii="仿宋" w:hAnsi="仿宋" w:eastAsia="仿宋" w:cs="仿宋"/>
          <w:spacing w:val="-2"/>
          <w:w w:val="100"/>
          <w:sz w:val="32"/>
          <w:szCs w:val="32"/>
        </w:rPr>
        <w:t>本年</w:t>
      </w:r>
      <w:r>
        <w:rPr>
          <w:rFonts w:hint="eastAsia" w:ascii="仿宋" w:hAnsi="仿宋" w:eastAsia="仿宋" w:cs="仿宋"/>
          <w:spacing w:val="-2"/>
          <w:w w:val="100"/>
          <w:sz w:val="32"/>
          <w:szCs w:val="32"/>
          <w:lang w:val="en-US" w:eastAsia="zh-CN"/>
        </w:rPr>
        <w:t>度</w:t>
      </w:r>
      <w:r>
        <w:rPr>
          <w:rFonts w:hint="eastAsia" w:ascii="仿宋" w:hAnsi="仿宋" w:eastAsia="仿宋" w:cs="仿宋"/>
          <w:spacing w:val="-2"/>
          <w:w w:val="100"/>
          <w:sz w:val="32"/>
          <w:szCs w:val="32"/>
        </w:rPr>
        <w:t>“三公”经费总支出较上年</w:t>
      </w:r>
      <w:r>
        <w:rPr>
          <w:rFonts w:hint="eastAsia" w:ascii="仿宋" w:hAnsi="仿宋" w:eastAsia="仿宋" w:cs="仿宋"/>
          <w:spacing w:val="-2"/>
          <w:w w:val="100"/>
          <w:sz w:val="32"/>
          <w:szCs w:val="32"/>
          <w:lang w:val="en-US" w:eastAsia="zh-CN"/>
        </w:rPr>
        <w:t>增加1.78</w:t>
      </w:r>
      <w:r>
        <w:rPr>
          <w:rFonts w:hint="eastAsia" w:ascii="仿宋" w:hAnsi="仿宋" w:eastAsia="仿宋" w:cs="仿宋"/>
          <w:spacing w:val="-2"/>
          <w:w w:val="100"/>
          <w:sz w:val="32"/>
          <w:szCs w:val="32"/>
        </w:rPr>
        <w:t>万元</w:t>
      </w:r>
      <w:r>
        <w:rPr>
          <w:rFonts w:hint="eastAsia" w:ascii="仿宋" w:hAnsi="仿宋" w:eastAsia="仿宋" w:cs="仿宋"/>
          <w:spacing w:val="-2"/>
          <w:w w:val="100"/>
          <w:sz w:val="32"/>
          <w:szCs w:val="32"/>
          <w:lang w:eastAsia="zh-CN"/>
        </w:rPr>
        <w:t>，</w:t>
      </w:r>
      <w:r>
        <w:rPr>
          <w:rFonts w:hint="eastAsia" w:ascii="仿宋" w:hAnsi="仿宋" w:eastAsia="仿宋" w:cs="仿宋"/>
          <w:spacing w:val="-2"/>
          <w:w w:val="100"/>
          <w:sz w:val="32"/>
          <w:szCs w:val="32"/>
          <w:lang w:val="en-US" w:eastAsia="zh-CN"/>
        </w:rPr>
        <w:t>主要原因是机构改革，上年度预算编制时未安排“三公”经费预算。</w:t>
      </w:r>
    </w:p>
    <w:p w14:paraId="0A31DAFC">
      <w:pPr>
        <w:keepNext w:val="0"/>
        <w:keepLines w:val="0"/>
        <w:pageBreakBefore w:val="0"/>
        <w:widowControl/>
        <w:shd w:val="clear" w:color="auto" w:fill="FFFFFF"/>
        <w:kinsoku/>
        <w:wordWrap/>
        <w:overflowPunct/>
        <w:topLinePunct w:val="0"/>
        <w:autoSpaceDE/>
        <w:autoSpaceDN/>
        <w:bidi w:val="0"/>
        <w:adjustRightInd/>
        <w:spacing w:line="520" w:lineRule="exact"/>
        <w:ind w:right="0" w:firstLine="632"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spacing w:val="-2"/>
          <w:w w:val="100"/>
          <w:sz w:val="32"/>
          <w:szCs w:val="32"/>
          <w:highlight w:val="none"/>
          <w:lang w:val="en-US" w:eastAsia="zh-CN"/>
        </w:rPr>
        <w:t>我中心</w:t>
      </w:r>
      <w:r>
        <w:rPr>
          <w:rFonts w:hint="default" w:ascii="仿宋" w:hAnsi="仿宋" w:eastAsia="仿宋" w:cs="仿宋"/>
          <w:spacing w:val="-2"/>
          <w:w w:val="100"/>
          <w:sz w:val="32"/>
          <w:szCs w:val="32"/>
          <w:highlight w:val="none"/>
          <w:lang w:val="en-US" w:eastAsia="zh-CN"/>
        </w:rPr>
        <w:t>认真贯彻落实中央八项规定和厉行节约要求</w:t>
      </w:r>
      <w:r>
        <w:rPr>
          <w:rFonts w:hint="eastAsia" w:ascii="仿宋" w:hAnsi="仿宋" w:eastAsia="仿宋" w:cs="仿宋"/>
          <w:spacing w:val="-2"/>
          <w:w w:val="100"/>
          <w:sz w:val="32"/>
          <w:szCs w:val="32"/>
          <w:highlight w:val="none"/>
          <w:lang w:val="en-US" w:eastAsia="zh-CN"/>
        </w:rPr>
        <w:t>，</w:t>
      </w:r>
      <w:r>
        <w:rPr>
          <w:rFonts w:hint="default" w:ascii="仿宋" w:hAnsi="仿宋" w:eastAsia="仿宋" w:cs="仿宋"/>
          <w:spacing w:val="-2"/>
          <w:w w:val="100"/>
          <w:sz w:val="32"/>
          <w:szCs w:val="32"/>
          <w:highlight w:val="none"/>
          <w:lang w:val="en-US" w:eastAsia="zh-CN"/>
        </w:rPr>
        <w:t>严格控制“三公”经费开支</w:t>
      </w:r>
      <w:r>
        <w:rPr>
          <w:rFonts w:hint="eastAsia" w:ascii="仿宋" w:hAnsi="仿宋" w:eastAsia="仿宋" w:cs="仿宋"/>
          <w:spacing w:val="-2"/>
          <w:w w:val="100"/>
          <w:sz w:val="32"/>
          <w:szCs w:val="32"/>
          <w:highlight w:val="none"/>
          <w:lang w:val="en-US" w:eastAsia="zh-CN"/>
        </w:rPr>
        <w:t>，</w:t>
      </w:r>
      <w:r>
        <w:rPr>
          <w:rFonts w:hint="default" w:ascii="仿宋" w:hAnsi="仿宋" w:eastAsia="仿宋" w:cs="仿宋"/>
          <w:spacing w:val="-2"/>
          <w:w w:val="100"/>
          <w:sz w:val="32"/>
          <w:szCs w:val="32"/>
          <w:highlight w:val="none"/>
          <w:lang w:val="en-US" w:eastAsia="zh-CN"/>
        </w:rPr>
        <w:t>坚决做到“三公”经费预算只减不增，经费开支手续齐全，管理规范。</w:t>
      </w:r>
    </w:p>
    <w:p w14:paraId="676386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（二）项目支出</w:t>
      </w:r>
    </w:p>
    <w:p w14:paraId="1324F4D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1.项目资金（包括财政资金、自筹资金等）安排落实、总投入等情况分析</w:t>
      </w:r>
    </w:p>
    <w:p w14:paraId="2E19ACB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根据《怀化市财政局关于批复下达2024年市直部门预算的通知》（怀财预〔2024〕5号），2024年未安排项目支出预算，年中追加财政项目资金132.32万元，主要包括湘财资环指〔2022〕80号2023年省级自然资源专项资金10万元、湘财资环指〔2023〕76号2024年省级自然资源专项资金（地下水资源常规监测）10万元、地质灾害补助经费37.32万元、关于提前下达2024年自然资源专项资金的通知（地质灾害调查评价）60万元、关于提前下达2024年自然资源专项资金的通知（地质灾害气象风险预警）15万元。本年度一般公共预算项目支出预算数132.32万元，实际到位132.32万元，资金到位率100%。</w:t>
      </w:r>
    </w:p>
    <w:p w14:paraId="1F94C08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2.项目资金（主要指财政资金）实际使用情况分析</w:t>
      </w:r>
    </w:p>
    <w:p w14:paraId="2ADFE623">
      <w:pPr>
        <w:keepNext w:val="0"/>
        <w:keepLines w:val="0"/>
        <w:pageBreakBefore w:val="0"/>
        <w:widowControl/>
        <w:shd w:val="clear" w:color="auto" w:fill="FFFFFF"/>
        <w:kinsoku/>
        <w:wordWrap/>
        <w:overflowPunct/>
        <w:topLinePunct w:val="0"/>
        <w:autoSpaceDE/>
        <w:autoSpaceDN/>
        <w:bidi w:val="0"/>
        <w:adjustRightInd/>
        <w:spacing w:line="520" w:lineRule="exact"/>
        <w:ind w:firstLine="632"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spacing w:val="-2"/>
          <w:w w:val="100"/>
          <w:sz w:val="32"/>
          <w:szCs w:val="32"/>
        </w:rPr>
        <w:t>项目支出系</w:t>
      </w:r>
      <w:r>
        <w:rPr>
          <w:rFonts w:hint="eastAsia" w:ascii="仿宋" w:hAnsi="仿宋" w:eastAsia="仿宋" w:cs="仿宋"/>
          <w:spacing w:val="-2"/>
          <w:w w:val="100"/>
          <w:sz w:val="32"/>
          <w:szCs w:val="32"/>
          <w:lang w:eastAsia="zh-CN"/>
        </w:rPr>
        <w:t>我中心</w:t>
      </w:r>
      <w:r>
        <w:rPr>
          <w:rFonts w:hint="eastAsia" w:ascii="仿宋" w:hAnsi="仿宋" w:eastAsia="仿宋" w:cs="仿宋"/>
          <w:spacing w:val="-2"/>
          <w:w w:val="100"/>
          <w:sz w:val="32"/>
          <w:szCs w:val="32"/>
        </w:rPr>
        <w:t>为完成事业发展目标而发生的支出，</w:t>
      </w:r>
      <w:r>
        <w:rPr>
          <w:rFonts w:hint="eastAsia" w:ascii="仿宋" w:hAnsi="仿宋" w:eastAsia="仿宋" w:cs="仿宋"/>
          <w:spacing w:val="-2"/>
          <w:w w:val="100"/>
          <w:sz w:val="32"/>
          <w:szCs w:val="32"/>
          <w:lang w:val="en-US" w:eastAsia="zh-CN"/>
        </w:rPr>
        <w:t>主要为</w:t>
      </w:r>
      <w:r>
        <w:rPr>
          <w:rFonts w:hint="eastAsia" w:ascii="仿宋" w:hAnsi="仿宋" w:eastAsia="仿宋" w:cs="仿宋"/>
          <w:spacing w:val="-2"/>
          <w:w w:val="100"/>
          <w:sz w:val="32"/>
          <w:szCs w:val="32"/>
          <w:highlight w:val="none"/>
          <w:lang w:val="en-US" w:eastAsia="zh-CN"/>
        </w:rPr>
        <w:t>专项资金</w:t>
      </w:r>
      <w:r>
        <w:rPr>
          <w:rFonts w:hint="eastAsia" w:ascii="仿宋" w:hAnsi="仿宋" w:eastAsia="仿宋" w:cs="仿宋"/>
          <w:spacing w:val="-2"/>
          <w:w w:val="100"/>
          <w:sz w:val="32"/>
          <w:szCs w:val="32"/>
          <w:highlight w:val="none"/>
        </w:rPr>
        <w:t>。20</w:t>
      </w:r>
      <w:r>
        <w:rPr>
          <w:rFonts w:hint="eastAsia" w:ascii="仿宋" w:hAnsi="仿宋" w:eastAsia="仿宋" w:cs="仿宋"/>
          <w:spacing w:val="-2"/>
          <w:w w:val="100"/>
          <w:sz w:val="32"/>
          <w:szCs w:val="32"/>
          <w:highlight w:val="none"/>
          <w:lang w:val="en-US" w:eastAsia="zh-CN"/>
        </w:rPr>
        <w:t>24</w:t>
      </w:r>
      <w:r>
        <w:rPr>
          <w:rFonts w:hint="eastAsia" w:ascii="仿宋" w:hAnsi="仿宋" w:eastAsia="仿宋" w:cs="仿宋"/>
          <w:spacing w:val="-2"/>
          <w:w w:val="100"/>
          <w:sz w:val="32"/>
          <w:szCs w:val="32"/>
          <w:highlight w:val="none"/>
        </w:rPr>
        <w:t>年</w:t>
      </w:r>
      <w:r>
        <w:rPr>
          <w:rFonts w:hint="eastAsia" w:ascii="仿宋" w:hAnsi="仿宋" w:eastAsia="仿宋" w:cs="仿宋"/>
          <w:spacing w:val="-2"/>
          <w:w w:val="100"/>
          <w:sz w:val="32"/>
          <w:szCs w:val="32"/>
          <w:highlight w:val="none"/>
          <w:lang w:val="en-US" w:eastAsia="zh-CN"/>
        </w:rPr>
        <w:t>一般公共预算</w:t>
      </w:r>
      <w:r>
        <w:rPr>
          <w:rFonts w:hint="eastAsia" w:ascii="仿宋" w:hAnsi="仿宋" w:eastAsia="仿宋" w:cs="仿宋"/>
          <w:spacing w:val="-2"/>
          <w:w w:val="100"/>
          <w:sz w:val="32"/>
          <w:szCs w:val="32"/>
          <w:highlight w:val="none"/>
        </w:rPr>
        <w:t>项目支出</w:t>
      </w:r>
      <w:r>
        <w:rPr>
          <w:rFonts w:hint="eastAsia" w:ascii="仿宋" w:hAnsi="仿宋" w:eastAsia="仿宋" w:cs="仿宋"/>
          <w:spacing w:val="-2"/>
          <w:w w:val="100"/>
          <w:sz w:val="32"/>
          <w:szCs w:val="32"/>
          <w:highlight w:val="none"/>
          <w:lang w:val="en-US" w:eastAsia="zh-CN"/>
        </w:rPr>
        <w:t>决算数</w:t>
      </w:r>
      <w:r>
        <w:rPr>
          <w:rFonts w:hint="eastAsia" w:ascii="仿宋" w:hAnsi="仿宋" w:eastAsia="仿宋" w:cs="仿宋"/>
          <w:color w:val="auto"/>
          <w:w w:val="100"/>
          <w:sz w:val="32"/>
          <w:szCs w:val="32"/>
          <w:highlight w:val="none"/>
          <w:lang w:val="en-US" w:eastAsia="zh-CN"/>
        </w:rPr>
        <w:t>132.32</w:t>
      </w:r>
      <w:r>
        <w:rPr>
          <w:rFonts w:hint="eastAsia" w:ascii="仿宋" w:hAnsi="仿宋" w:eastAsia="仿宋" w:cs="仿宋"/>
          <w:spacing w:val="-2"/>
          <w:w w:val="100"/>
          <w:sz w:val="32"/>
          <w:szCs w:val="32"/>
          <w:highlight w:val="none"/>
        </w:rPr>
        <w:t>万元，</w:t>
      </w:r>
      <w:r>
        <w:rPr>
          <w:rFonts w:hint="eastAsia" w:ascii="仿宋" w:hAnsi="仿宋" w:eastAsia="仿宋" w:cs="仿宋"/>
          <w:spacing w:val="-2"/>
          <w:w w:val="100"/>
          <w:sz w:val="32"/>
          <w:szCs w:val="32"/>
          <w:highlight w:val="none"/>
          <w:lang w:val="en-US" w:eastAsia="zh-CN"/>
        </w:rPr>
        <w:t>主要用于保障地灾中心正常运转，开展汛前排查、汛中巡查、汛后核查基础性常规调查及已经发生地灾点或隐患点应急调查工作差旅费，地质灾害防治宣传培训，地质灾害预警平台服务费，地下水常规监测等。2024年一般公共预算项目支出</w:t>
      </w:r>
      <w:r>
        <w:rPr>
          <w:rFonts w:hint="eastAsia" w:ascii="仿宋" w:hAnsi="仿宋" w:eastAsia="仿宋" w:cs="仿宋"/>
          <w:spacing w:val="-2"/>
          <w:w w:val="100"/>
          <w:sz w:val="32"/>
          <w:szCs w:val="32"/>
          <w:highlight w:val="none"/>
          <w:lang w:eastAsia="zh-CN"/>
        </w:rPr>
        <w:t>较</w:t>
      </w:r>
      <w:r>
        <w:rPr>
          <w:rFonts w:hint="eastAsia" w:ascii="仿宋" w:hAnsi="仿宋" w:eastAsia="仿宋" w:cs="仿宋"/>
          <w:spacing w:val="-2"/>
          <w:w w:val="100"/>
          <w:sz w:val="32"/>
          <w:szCs w:val="32"/>
          <w:highlight w:val="none"/>
        </w:rPr>
        <w:t>上年</w:t>
      </w:r>
      <w:r>
        <w:rPr>
          <w:rFonts w:hint="eastAsia" w:ascii="仿宋" w:hAnsi="仿宋" w:eastAsia="仿宋" w:cs="仿宋"/>
          <w:spacing w:val="-2"/>
          <w:w w:val="100"/>
          <w:sz w:val="32"/>
          <w:szCs w:val="32"/>
          <w:highlight w:val="none"/>
          <w:lang w:val="en-US" w:eastAsia="zh-CN"/>
        </w:rPr>
        <w:t>数减少69.50万元</w:t>
      </w:r>
      <w:r>
        <w:rPr>
          <w:rFonts w:hint="eastAsia" w:ascii="仿宋" w:hAnsi="仿宋" w:eastAsia="仿宋" w:cs="仿宋"/>
          <w:spacing w:val="-2"/>
          <w:w w:val="100"/>
          <w:sz w:val="32"/>
          <w:szCs w:val="32"/>
          <w:highlight w:val="none"/>
          <w:lang w:eastAsia="zh-CN"/>
        </w:rPr>
        <w:t>，</w:t>
      </w:r>
      <w:r>
        <w:rPr>
          <w:rFonts w:hint="eastAsia" w:ascii="仿宋" w:hAnsi="仿宋" w:eastAsia="仿宋" w:cs="仿宋"/>
          <w:spacing w:val="-2"/>
          <w:w w:val="100"/>
          <w:sz w:val="32"/>
          <w:szCs w:val="32"/>
          <w:highlight w:val="none"/>
          <w:lang w:val="en-US" w:eastAsia="zh-CN"/>
        </w:rPr>
        <w:t>降低34.44%</w:t>
      </w:r>
      <w:r>
        <w:rPr>
          <w:rFonts w:hint="eastAsia" w:ascii="仿宋" w:hAnsi="仿宋" w:eastAsia="仿宋" w:cs="仿宋"/>
          <w:spacing w:val="-2"/>
          <w:w w:val="100"/>
          <w:sz w:val="32"/>
          <w:szCs w:val="32"/>
          <w:highlight w:val="none"/>
        </w:rPr>
        <w:t>，</w:t>
      </w:r>
      <w:r>
        <w:rPr>
          <w:rFonts w:hint="eastAsia" w:ascii="仿宋" w:hAnsi="仿宋" w:eastAsia="仿宋" w:cs="仿宋"/>
          <w:spacing w:val="-2"/>
          <w:w w:val="100"/>
          <w:sz w:val="32"/>
          <w:szCs w:val="32"/>
          <w:highlight w:val="none"/>
          <w:lang w:val="en-US" w:eastAsia="zh-CN"/>
        </w:rPr>
        <w:t>主要是本年度地质灾害防治项目资金减少。</w:t>
      </w:r>
    </w:p>
    <w:p w14:paraId="064BB092">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3.项目资金管理情况分析</w:t>
      </w:r>
    </w:p>
    <w:p w14:paraId="25092022">
      <w:pPr>
        <w:keepNext w:val="0"/>
        <w:keepLines w:val="0"/>
        <w:pageBreakBefore w:val="0"/>
        <w:widowControl/>
        <w:shd w:val="clear" w:color="auto" w:fill="FFFFFF"/>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为规范和加强专项资金的使用管理，我中心制定了《怀化市地质灾害防治中心专项资金管理办法》，严格按照专项资金专款专用的规定严格使用管理，无挤占和挪用资金，确保专款专用、专账核算。</w:t>
      </w:r>
    </w:p>
    <w:p w14:paraId="47AF94B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w w:val="100"/>
          <w:sz w:val="32"/>
          <w:szCs w:val="32"/>
          <w:highlight w:val="none"/>
          <w:lang w:val="en-US" w:eastAsia="zh-CN"/>
        </w:rPr>
      </w:pPr>
      <w:r>
        <w:rPr>
          <w:rFonts w:hint="default" w:ascii="方正黑体_GBK" w:hAnsi="方正黑体_GBK" w:eastAsia="方正黑体_GBK" w:cs="方正黑体_GBK"/>
          <w:b/>
          <w:bCs/>
          <w:color w:val="auto"/>
          <w:w w:val="100"/>
          <w:sz w:val="32"/>
          <w:szCs w:val="32"/>
          <w:highlight w:val="none"/>
          <w:lang w:val="en-US" w:eastAsia="zh-CN"/>
        </w:rPr>
        <w:t>三、项目组织实施情况</w:t>
      </w:r>
    </w:p>
    <w:p w14:paraId="709674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（一）项目组织情况分析</w:t>
      </w:r>
    </w:p>
    <w:p w14:paraId="4384B1E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项目招投标方面，按照《怀化市政府采购限额标准(2022年版)》（怀财购〔2022〕52号）文件执行，单个项目采购金额达到200万元的，依法采用公开招投标方式组织项目实施；政府采购限额标准以上的采购项目，</w:t>
      </w:r>
      <w:r>
        <w:rPr>
          <w:rFonts w:hint="eastAsia" w:ascii="仿宋" w:hAnsi="仿宋" w:eastAsia="仿宋" w:cs="Times New Roman"/>
          <w:spacing w:val="-2"/>
          <w:w w:val="100"/>
          <w:sz w:val="32"/>
          <w:szCs w:val="32"/>
          <w:lang w:val="en-US" w:eastAsia="zh-CN"/>
        </w:rPr>
        <w:t>通过集体决策确定采购方式组织项目实施；</w:t>
      </w:r>
      <w:r>
        <w:rPr>
          <w:rFonts w:hint="eastAsia" w:ascii="仿宋" w:hAnsi="仿宋" w:eastAsia="仿宋" w:cs="仿宋"/>
          <w:color w:val="auto"/>
          <w:w w:val="100"/>
          <w:sz w:val="32"/>
          <w:szCs w:val="32"/>
          <w:highlight w:val="none"/>
          <w:lang w:val="en-US" w:eastAsia="zh-CN"/>
        </w:rPr>
        <w:t>采购限额以下小额采购通过政府采购云平台。</w:t>
      </w:r>
    </w:p>
    <w:p w14:paraId="1E6577B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项目验收方面，成立项目领导小组，项目领导小组对项目的进度和质量进行跟踪、检查、监督、验收。项目完工后，验收人员按质量要求对各项指标进行检查验收，签署验收意见，确保项目达到预期效益目标，加强统筹协调，强化监督管理，严把项目质量关。</w:t>
      </w:r>
    </w:p>
    <w:p w14:paraId="502C982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（二）项目管理情况分析</w:t>
      </w:r>
    </w:p>
    <w:p w14:paraId="5988CD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在实施项目过程中，我中心严格按照项目管理制度及相关文件要求开展工作，建立健全管理制度，严格履行审批手续，</w:t>
      </w:r>
      <w:r>
        <w:rPr>
          <w:rFonts w:hint="eastAsia" w:ascii="仿宋" w:hAnsi="仿宋" w:eastAsia="仿宋" w:cs="仿宋"/>
          <w:bCs w:val="0"/>
          <w:i w:val="0"/>
          <w:iCs w:val="0"/>
          <w:caps w:val="0"/>
          <w:snapToGrid w:val="0"/>
          <w:color w:val="000000"/>
          <w:spacing w:val="0"/>
          <w:w w:val="100"/>
          <w:kern w:val="0"/>
          <w:sz w:val="32"/>
          <w:szCs w:val="32"/>
          <w:shd w:val="clear" w:fill="FFFFFF"/>
          <w:lang w:val="en-US" w:eastAsia="zh-CN" w:bidi="ar"/>
        </w:rPr>
        <w:t>保障项目顺利实施</w:t>
      </w:r>
      <w:r>
        <w:rPr>
          <w:rFonts w:hint="eastAsia" w:ascii="仿宋" w:hAnsi="仿宋" w:eastAsia="仿宋" w:cs="仿宋"/>
          <w:color w:val="auto"/>
          <w:w w:val="100"/>
          <w:sz w:val="32"/>
          <w:szCs w:val="32"/>
          <w:highlight w:val="none"/>
          <w:lang w:val="en-US" w:eastAsia="zh-CN"/>
        </w:rPr>
        <w:t>。项目实施遵守相关法律法规和相关管理规定，合同书、验收资料齐全并及时归档。</w:t>
      </w:r>
    </w:p>
    <w:p w14:paraId="6681E12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w w:val="100"/>
          <w:sz w:val="32"/>
          <w:szCs w:val="32"/>
          <w:highlight w:val="none"/>
          <w:lang w:val="en-US" w:eastAsia="zh-CN"/>
        </w:rPr>
      </w:pPr>
      <w:r>
        <w:rPr>
          <w:rFonts w:hint="default" w:ascii="方正黑体_GBK" w:hAnsi="方正黑体_GBK" w:eastAsia="方正黑体_GBK" w:cs="方正黑体_GBK"/>
          <w:b/>
          <w:bCs/>
          <w:color w:val="auto"/>
          <w:w w:val="100"/>
          <w:sz w:val="32"/>
          <w:szCs w:val="32"/>
          <w:highlight w:val="none"/>
          <w:lang w:val="en-US" w:eastAsia="zh-CN"/>
        </w:rPr>
        <w:t>四、资产管理情况</w:t>
      </w:r>
    </w:p>
    <w:p w14:paraId="410C1A6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严格按照《怀化市财政局关于调整&lt;怀化市市级行政事业单位通用办公设备和办公家具配置限额标准&gt;的补充通知》（怀财资〔2020〕119号）、《怀化市财政局 怀化市机关事务管理局关于印发&lt;怀化市市直行政事业单位国有资产配置管理暂行办法&gt;&lt;怀化市市直行政事业单位国有资产处置管理暂行办法&gt;的通知》（怀财资〔2022〕136号）文件规定执行，坚持科学合理、优化资产、勤俭节约、从严控制的原则，根据履行工作职能的需求合理配置，按规定处置资产。</w:t>
      </w:r>
    </w:p>
    <w:p w14:paraId="42744E4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为了规范固定资产管理，实现固定资产优化配置，提高资产的使用效益，我单位制定了《资产管理制度》，固定资产的管理归口办公室管理，日常由使用人和使用部门各司其职、共同保障资产的完整与有效利用。</w:t>
      </w:r>
    </w:p>
    <w:p w14:paraId="572145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每年定期组织资产清查，对资产进行账实核对，做到账实相符、账账相符。</w:t>
      </w:r>
    </w:p>
    <w:p w14:paraId="7C2AACF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w w:val="100"/>
          <w:sz w:val="32"/>
          <w:szCs w:val="32"/>
          <w:highlight w:val="none"/>
          <w:lang w:val="en-US" w:eastAsia="zh-CN"/>
        </w:rPr>
      </w:pPr>
      <w:r>
        <w:rPr>
          <w:rFonts w:hint="default" w:ascii="方正黑体_GBK" w:hAnsi="方正黑体_GBK" w:eastAsia="方正黑体_GBK" w:cs="方正黑体_GBK"/>
          <w:b/>
          <w:bCs/>
          <w:color w:val="auto"/>
          <w:w w:val="100"/>
          <w:sz w:val="32"/>
          <w:szCs w:val="32"/>
          <w:highlight w:val="none"/>
          <w:lang w:val="en-US" w:eastAsia="zh-CN"/>
        </w:rPr>
        <w:t>五、政府性基金预算支出情况</w:t>
      </w:r>
    </w:p>
    <w:p w14:paraId="5CD6720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w w:val="100"/>
          <w:sz w:val="32"/>
          <w:szCs w:val="32"/>
          <w:highlight w:val="none"/>
          <w:lang w:val="en-US" w:eastAsia="zh-CN"/>
        </w:rPr>
      </w:pPr>
      <w:r>
        <w:rPr>
          <w:rFonts w:hint="eastAsia" w:ascii="仿宋" w:hAnsi="仿宋" w:eastAsia="仿宋" w:cs="仿宋"/>
          <w:color w:val="auto"/>
          <w:w w:val="100"/>
          <w:sz w:val="32"/>
          <w:szCs w:val="32"/>
          <w:highlight w:val="none"/>
          <w:lang w:val="en-US" w:eastAsia="zh-CN"/>
        </w:rPr>
        <w:t>2024年度政府性基金预算财政拨款收入45.85万元；年初结转和结余0万元；支出45.85万元，其中基本支出0万元，项目支出45.85万元；年末结转和结余0万元。具体情况如下：</w:t>
      </w:r>
      <w:r>
        <w:rPr>
          <w:rFonts w:hint="default" w:ascii="仿宋" w:hAnsi="仿宋" w:eastAsia="仿宋" w:cs="仿宋"/>
          <w:color w:val="auto"/>
          <w:w w:val="100"/>
          <w:sz w:val="32"/>
          <w:szCs w:val="32"/>
          <w:highlight w:val="none"/>
          <w:lang w:val="en-US" w:eastAsia="zh-CN"/>
        </w:rPr>
        <w:t>地灾防治专项工作经费</w:t>
      </w:r>
      <w:r>
        <w:rPr>
          <w:rFonts w:hint="eastAsia" w:ascii="仿宋" w:hAnsi="仿宋" w:eastAsia="仿宋" w:cs="仿宋"/>
          <w:color w:val="auto"/>
          <w:w w:val="100"/>
          <w:sz w:val="32"/>
          <w:szCs w:val="32"/>
          <w:highlight w:val="none"/>
          <w:lang w:val="en-US" w:eastAsia="zh-CN"/>
        </w:rPr>
        <w:t>45.85万元，主要用于保障地灾中心工作人员正常开展相关工作。</w:t>
      </w:r>
    </w:p>
    <w:p w14:paraId="3488626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w w:val="100"/>
          <w:sz w:val="32"/>
          <w:szCs w:val="32"/>
          <w:highlight w:val="none"/>
          <w:lang w:val="en-US" w:eastAsia="zh-CN"/>
        </w:rPr>
      </w:pPr>
      <w:r>
        <w:rPr>
          <w:rFonts w:hint="default" w:ascii="方正黑体_GBK" w:hAnsi="方正黑体_GBK" w:eastAsia="方正黑体_GBK" w:cs="方正黑体_GBK"/>
          <w:b/>
          <w:bCs/>
          <w:color w:val="auto"/>
          <w:w w:val="100"/>
          <w:sz w:val="32"/>
          <w:szCs w:val="32"/>
          <w:highlight w:val="none"/>
          <w:lang w:val="en-US" w:eastAsia="zh-CN"/>
        </w:rPr>
        <w:t>六、国有资本经营预算支出情况</w:t>
      </w:r>
    </w:p>
    <w:p w14:paraId="0FABDDEB">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default" w:ascii="方正黑体_GBK" w:hAnsi="方正黑体_GBK" w:eastAsia="方正黑体_GBK" w:cs="方正黑体_GBK"/>
          <w:b/>
          <w:bCs/>
          <w:color w:val="auto"/>
          <w:w w:val="100"/>
          <w:sz w:val="32"/>
          <w:szCs w:val="32"/>
          <w:highlight w:val="none"/>
          <w:lang w:val="en-US" w:eastAsia="zh-CN"/>
        </w:rPr>
      </w:pPr>
      <w:r>
        <w:rPr>
          <w:rFonts w:hint="default" w:ascii="仿宋" w:hAnsi="仿宋" w:eastAsia="仿宋" w:cs="Times New Roman"/>
          <w:spacing w:val="-2"/>
          <w:w w:val="100"/>
          <w:kern w:val="2"/>
          <w:sz w:val="32"/>
          <w:szCs w:val="32"/>
          <w:lang w:val="en-US" w:eastAsia="zh-CN" w:bidi="ar-SA"/>
        </w:rPr>
        <w:t>202</w:t>
      </w:r>
      <w:r>
        <w:rPr>
          <w:rFonts w:hint="eastAsia" w:ascii="仿宋" w:hAnsi="仿宋" w:eastAsia="仿宋" w:cs="Times New Roman"/>
          <w:spacing w:val="-2"/>
          <w:w w:val="100"/>
          <w:kern w:val="2"/>
          <w:sz w:val="32"/>
          <w:szCs w:val="32"/>
          <w:lang w:val="en-US" w:eastAsia="zh-CN" w:bidi="ar-SA"/>
        </w:rPr>
        <w:t>4年我中心无国有资本经营预算支出。</w:t>
      </w:r>
    </w:p>
    <w:p w14:paraId="3844A89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w w:val="100"/>
          <w:sz w:val="32"/>
          <w:szCs w:val="32"/>
          <w:highlight w:val="none"/>
          <w:lang w:val="en-US" w:eastAsia="zh-CN"/>
        </w:rPr>
      </w:pPr>
      <w:r>
        <w:rPr>
          <w:rFonts w:hint="default" w:ascii="方正黑体_GBK" w:hAnsi="方正黑体_GBK" w:eastAsia="方正黑体_GBK" w:cs="方正黑体_GBK"/>
          <w:b/>
          <w:bCs/>
          <w:color w:val="auto"/>
          <w:w w:val="100"/>
          <w:sz w:val="32"/>
          <w:szCs w:val="32"/>
          <w:highlight w:val="none"/>
          <w:lang w:val="en-US" w:eastAsia="zh-CN"/>
        </w:rPr>
        <w:t>七、社会保险基金预算支出情况</w:t>
      </w:r>
    </w:p>
    <w:p w14:paraId="7B2E27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default" w:ascii="方正黑体_GBK" w:hAnsi="方正黑体_GBK" w:eastAsia="方正黑体_GBK" w:cs="方正黑体_GBK"/>
          <w:b/>
          <w:bCs/>
          <w:color w:val="auto"/>
          <w:w w:val="100"/>
          <w:sz w:val="32"/>
          <w:szCs w:val="32"/>
          <w:highlight w:val="none"/>
          <w:lang w:val="en-US" w:eastAsia="zh-CN"/>
        </w:rPr>
      </w:pPr>
      <w:r>
        <w:rPr>
          <w:rFonts w:hint="default" w:ascii="仿宋" w:hAnsi="仿宋" w:eastAsia="仿宋" w:cs="Times New Roman"/>
          <w:spacing w:val="-2"/>
          <w:w w:val="100"/>
          <w:kern w:val="2"/>
          <w:sz w:val="32"/>
          <w:szCs w:val="32"/>
          <w:lang w:val="en-US" w:eastAsia="zh-CN" w:bidi="ar-SA"/>
        </w:rPr>
        <w:t>202</w:t>
      </w:r>
      <w:r>
        <w:rPr>
          <w:rFonts w:hint="eastAsia" w:ascii="仿宋" w:hAnsi="仿宋" w:eastAsia="仿宋" w:cs="Times New Roman"/>
          <w:spacing w:val="-2"/>
          <w:w w:val="100"/>
          <w:kern w:val="2"/>
          <w:sz w:val="32"/>
          <w:szCs w:val="32"/>
          <w:lang w:val="en-US" w:eastAsia="zh-CN" w:bidi="ar-SA"/>
        </w:rPr>
        <w:t>4年我中心无社会保险基金预算支出。</w:t>
      </w:r>
    </w:p>
    <w:p w14:paraId="387ACBF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w w:val="100"/>
          <w:sz w:val="32"/>
          <w:szCs w:val="32"/>
          <w:highlight w:val="none"/>
          <w:lang w:val="en-US" w:eastAsia="zh-CN"/>
        </w:rPr>
      </w:pPr>
      <w:r>
        <w:rPr>
          <w:rFonts w:hint="default" w:ascii="方正黑体_GBK" w:hAnsi="方正黑体_GBK" w:eastAsia="方正黑体_GBK" w:cs="方正黑体_GBK"/>
          <w:b/>
          <w:bCs/>
          <w:color w:val="auto"/>
          <w:w w:val="100"/>
          <w:sz w:val="32"/>
          <w:szCs w:val="32"/>
          <w:highlight w:val="none"/>
          <w:lang w:val="en-US" w:eastAsia="zh-CN"/>
        </w:rPr>
        <w:t>八、部门整体支出绩效情况</w:t>
      </w:r>
    </w:p>
    <w:p w14:paraId="4233E8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default" w:ascii="仿宋" w:hAnsi="仿宋" w:eastAsia="仿宋" w:cs="仿宋"/>
          <w:color w:val="auto"/>
          <w:w w:val="100"/>
          <w:kern w:val="2"/>
          <w:sz w:val="32"/>
          <w:szCs w:val="32"/>
          <w:highlight w:val="none"/>
          <w:lang w:val="en-US" w:eastAsia="zh-CN" w:bidi="ar-SA"/>
        </w:rPr>
        <w:t>（一）综合评价结论</w:t>
      </w:r>
    </w:p>
    <w:p w14:paraId="2D1F7D3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我中心</w:t>
      </w:r>
      <w:r>
        <w:rPr>
          <w:rFonts w:hint="default" w:ascii="仿宋" w:hAnsi="仿宋" w:eastAsia="仿宋" w:cs="仿宋"/>
          <w:color w:val="auto"/>
          <w:w w:val="100"/>
          <w:kern w:val="2"/>
          <w:sz w:val="32"/>
          <w:szCs w:val="32"/>
          <w:highlight w:val="none"/>
          <w:lang w:val="en-US" w:eastAsia="zh-CN" w:bidi="ar-SA"/>
        </w:rPr>
        <w:t>从履行本部门的职能职责对预算资金的需求出发，按照</w:t>
      </w:r>
      <w:r>
        <w:rPr>
          <w:rFonts w:hint="eastAsia" w:ascii="仿宋" w:hAnsi="仿宋" w:eastAsia="仿宋" w:cs="仿宋"/>
          <w:color w:val="auto"/>
          <w:w w:val="100"/>
          <w:kern w:val="2"/>
          <w:sz w:val="32"/>
          <w:szCs w:val="32"/>
          <w:highlight w:val="none"/>
          <w:lang w:val="en-US" w:eastAsia="zh-CN" w:bidi="ar-SA"/>
        </w:rPr>
        <w:t>市</w:t>
      </w:r>
      <w:r>
        <w:rPr>
          <w:rFonts w:hint="default" w:ascii="仿宋" w:hAnsi="仿宋" w:eastAsia="仿宋" w:cs="仿宋"/>
          <w:color w:val="auto"/>
          <w:w w:val="100"/>
          <w:kern w:val="2"/>
          <w:sz w:val="32"/>
          <w:szCs w:val="32"/>
          <w:highlight w:val="none"/>
          <w:lang w:val="en-US" w:eastAsia="zh-CN" w:bidi="ar-SA"/>
        </w:rPr>
        <w:t>财政局预算管理要求和工作程序编报预算、决算，从严控制“三公”经费、差旅费、培训费等费用，做好预算资金管理和会计核算，保障了2024年履行职能职责，完成了各项重点工作任务，总体上符合部门预算全过程预算绩效管理的要求。经综合分析与评价，</w:t>
      </w:r>
      <w:r>
        <w:rPr>
          <w:rFonts w:hint="eastAsia" w:ascii="仿宋" w:hAnsi="仿宋" w:eastAsia="仿宋" w:cs="仿宋"/>
          <w:color w:val="auto"/>
          <w:w w:val="100"/>
          <w:kern w:val="2"/>
          <w:sz w:val="32"/>
          <w:szCs w:val="32"/>
          <w:highlight w:val="none"/>
          <w:lang w:val="en-US" w:eastAsia="zh-CN" w:bidi="ar-SA"/>
        </w:rPr>
        <w:t>怀化市地质灾害防治中心</w:t>
      </w:r>
      <w:r>
        <w:rPr>
          <w:rFonts w:hint="default" w:ascii="仿宋" w:hAnsi="仿宋" w:eastAsia="仿宋" w:cs="仿宋"/>
          <w:color w:val="auto"/>
          <w:w w:val="100"/>
          <w:kern w:val="2"/>
          <w:sz w:val="32"/>
          <w:szCs w:val="32"/>
          <w:highlight w:val="none"/>
          <w:lang w:val="en-US" w:eastAsia="zh-CN" w:bidi="ar-SA"/>
        </w:rPr>
        <w:t>2024年整体支出绩效自评得分为</w:t>
      </w:r>
      <w:r>
        <w:rPr>
          <w:rFonts w:hint="eastAsia" w:ascii="仿宋" w:hAnsi="仿宋" w:eastAsia="仿宋" w:cs="仿宋"/>
          <w:color w:val="auto"/>
          <w:w w:val="100"/>
          <w:kern w:val="2"/>
          <w:sz w:val="32"/>
          <w:szCs w:val="32"/>
          <w:highlight w:val="none"/>
          <w:lang w:val="en-US" w:eastAsia="zh-CN" w:bidi="ar-SA"/>
        </w:rPr>
        <w:t>99</w:t>
      </w:r>
      <w:r>
        <w:rPr>
          <w:rFonts w:hint="default" w:ascii="仿宋" w:hAnsi="仿宋" w:eastAsia="仿宋" w:cs="仿宋"/>
          <w:color w:val="auto"/>
          <w:w w:val="100"/>
          <w:kern w:val="2"/>
          <w:sz w:val="32"/>
          <w:szCs w:val="32"/>
          <w:highlight w:val="none"/>
          <w:lang w:val="en-US" w:eastAsia="zh-CN" w:bidi="ar-SA"/>
        </w:rPr>
        <w:t>分</w:t>
      </w:r>
      <w:r>
        <w:rPr>
          <w:rFonts w:hint="eastAsia" w:ascii="仿宋" w:hAnsi="仿宋" w:eastAsia="仿宋" w:cs="仿宋"/>
          <w:color w:val="auto"/>
          <w:w w:val="100"/>
          <w:kern w:val="2"/>
          <w:sz w:val="32"/>
          <w:szCs w:val="32"/>
          <w:highlight w:val="none"/>
          <w:lang w:val="en-US" w:eastAsia="zh-CN" w:bidi="ar-SA"/>
        </w:rPr>
        <w:t>。</w:t>
      </w:r>
    </w:p>
    <w:p w14:paraId="56D27D3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（二）</w:t>
      </w:r>
      <w:r>
        <w:rPr>
          <w:rFonts w:hint="default" w:ascii="仿宋" w:hAnsi="仿宋" w:eastAsia="仿宋" w:cs="仿宋"/>
          <w:color w:val="auto"/>
          <w:w w:val="100"/>
          <w:kern w:val="2"/>
          <w:sz w:val="32"/>
          <w:szCs w:val="32"/>
          <w:highlight w:val="none"/>
          <w:lang w:val="en-US" w:eastAsia="zh-CN" w:bidi="ar-SA"/>
        </w:rPr>
        <w:t>运行成本</w:t>
      </w:r>
    </w:p>
    <w:p w14:paraId="2163045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我中心2024年在职人员、公用经费、“</w:t>
      </w:r>
      <w:r>
        <w:rPr>
          <w:rFonts w:hint="default" w:ascii="仿宋" w:hAnsi="仿宋" w:eastAsia="仿宋" w:cs="仿宋"/>
          <w:color w:val="auto"/>
          <w:w w:val="100"/>
          <w:kern w:val="2"/>
          <w:sz w:val="32"/>
          <w:szCs w:val="32"/>
          <w:highlight w:val="none"/>
          <w:lang w:val="en-US" w:eastAsia="zh-CN" w:bidi="ar-SA"/>
        </w:rPr>
        <w:t>三公经费</w:t>
      </w:r>
      <w:r>
        <w:rPr>
          <w:rFonts w:hint="eastAsia" w:ascii="仿宋" w:hAnsi="仿宋" w:eastAsia="仿宋" w:cs="仿宋"/>
          <w:color w:val="auto"/>
          <w:w w:val="100"/>
          <w:kern w:val="2"/>
          <w:sz w:val="32"/>
          <w:szCs w:val="32"/>
          <w:highlight w:val="none"/>
          <w:lang w:val="en-US" w:eastAsia="zh-CN" w:bidi="ar-SA"/>
        </w:rPr>
        <w:t>”控制情况较好，政府采购控制有待加强，具体情况如下：</w:t>
      </w:r>
    </w:p>
    <w:p w14:paraId="3238FEE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1.财政供养人员控制率。2024年我中心编制数17人，实际在职人员数17人，在职人员控制率为100%。</w:t>
      </w:r>
    </w:p>
    <w:p w14:paraId="2E13DD7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2.</w:t>
      </w:r>
      <w:r>
        <w:rPr>
          <w:rFonts w:hint="default" w:ascii="仿宋" w:hAnsi="仿宋" w:eastAsia="仿宋" w:cs="仿宋"/>
          <w:color w:val="auto"/>
          <w:w w:val="100"/>
          <w:kern w:val="2"/>
          <w:sz w:val="32"/>
          <w:szCs w:val="32"/>
          <w:highlight w:val="none"/>
          <w:lang w:val="en-US" w:eastAsia="zh-CN" w:bidi="ar-SA"/>
        </w:rPr>
        <w:t>公用经费控制率。202</w:t>
      </w:r>
      <w:r>
        <w:rPr>
          <w:rFonts w:hint="eastAsia" w:ascii="仿宋" w:hAnsi="仿宋" w:eastAsia="仿宋" w:cs="仿宋"/>
          <w:color w:val="auto"/>
          <w:w w:val="100"/>
          <w:kern w:val="2"/>
          <w:sz w:val="32"/>
          <w:szCs w:val="32"/>
          <w:highlight w:val="none"/>
          <w:lang w:val="en-US" w:eastAsia="zh-CN" w:bidi="ar-SA"/>
        </w:rPr>
        <w:t>4</w:t>
      </w:r>
      <w:r>
        <w:rPr>
          <w:rFonts w:hint="default" w:ascii="仿宋" w:hAnsi="仿宋" w:eastAsia="仿宋" w:cs="仿宋"/>
          <w:color w:val="auto"/>
          <w:w w:val="100"/>
          <w:kern w:val="2"/>
          <w:sz w:val="32"/>
          <w:szCs w:val="32"/>
          <w:highlight w:val="none"/>
          <w:lang w:val="en-US" w:eastAsia="zh-CN" w:bidi="ar-SA"/>
        </w:rPr>
        <w:t>年实际支出公用经费总额</w:t>
      </w:r>
      <w:r>
        <w:rPr>
          <w:rFonts w:hint="eastAsia" w:ascii="仿宋" w:hAnsi="仿宋" w:eastAsia="仿宋" w:cs="仿宋"/>
          <w:color w:val="auto"/>
          <w:w w:val="100"/>
          <w:kern w:val="2"/>
          <w:sz w:val="32"/>
          <w:szCs w:val="32"/>
          <w:highlight w:val="none"/>
          <w:lang w:val="en-US" w:eastAsia="zh-CN" w:bidi="ar-SA"/>
        </w:rPr>
        <w:t>0</w:t>
      </w:r>
      <w:r>
        <w:rPr>
          <w:rFonts w:hint="default" w:ascii="仿宋" w:hAnsi="仿宋" w:eastAsia="仿宋" w:cs="仿宋"/>
          <w:color w:val="auto"/>
          <w:w w:val="100"/>
          <w:kern w:val="2"/>
          <w:sz w:val="32"/>
          <w:szCs w:val="32"/>
          <w:highlight w:val="none"/>
          <w:lang w:val="en-US" w:eastAsia="zh-CN" w:bidi="ar-SA"/>
        </w:rPr>
        <w:t>万元，预算安排公用经费总额</w:t>
      </w:r>
      <w:r>
        <w:rPr>
          <w:rFonts w:hint="eastAsia" w:ascii="仿宋" w:hAnsi="仿宋" w:eastAsia="仿宋" w:cs="仿宋"/>
          <w:color w:val="auto"/>
          <w:w w:val="100"/>
          <w:kern w:val="2"/>
          <w:sz w:val="32"/>
          <w:szCs w:val="32"/>
          <w:highlight w:val="none"/>
          <w:lang w:val="en-US" w:eastAsia="zh-CN" w:bidi="ar-SA"/>
        </w:rPr>
        <w:t>36</w:t>
      </w:r>
      <w:r>
        <w:rPr>
          <w:rFonts w:hint="default" w:ascii="仿宋" w:hAnsi="仿宋" w:eastAsia="仿宋" w:cs="仿宋"/>
          <w:color w:val="auto"/>
          <w:w w:val="100"/>
          <w:kern w:val="2"/>
          <w:sz w:val="32"/>
          <w:szCs w:val="32"/>
          <w:highlight w:val="none"/>
          <w:lang w:val="en-US" w:eastAsia="zh-CN" w:bidi="ar-SA"/>
        </w:rPr>
        <w:t>万元，公用经费控制率</w:t>
      </w:r>
      <w:r>
        <w:rPr>
          <w:rFonts w:hint="eastAsia" w:ascii="仿宋" w:hAnsi="仿宋" w:eastAsia="仿宋" w:cs="仿宋"/>
          <w:color w:val="auto"/>
          <w:w w:val="100"/>
          <w:kern w:val="2"/>
          <w:sz w:val="32"/>
          <w:szCs w:val="32"/>
          <w:highlight w:val="none"/>
          <w:lang w:val="en-US" w:eastAsia="zh-CN" w:bidi="ar-SA"/>
        </w:rPr>
        <w:t>0</w:t>
      </w:r>
      <w:r>
        <w:rPr>
          <w:rFonts w:hint="default" w:ascii="仿宋" w:hAnsi="仿宋" w:eastAsia="仿宋" w:cs="仿宋"/>
          <w:color w:val="auto"/>
          <w:w w:val="100"/>
          <w:kern w:val="2"/>
          <w:sz w:val="32"/>
          <w:szCs w:val="32"/>
          <w:highlight w:val="none"/>
          <w:lang w:val="en-US" w:eastAsia="zh-CN" w:bidi="ar-SA"/>
        </w:rPr>
        <w:t>%。</w:t>
      </w:r>
    </w:p>
    <w:p w14:paraId="3FD5646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3.</w:t>
      </w:r>
      <w:r>
        <w:rPr>
          <w:rFonts w:hint="default" w:ascii="仿宋" w:hAnsi="仿宋" w:eastAsia="仿宋" w:cs="仿宋"/>
          <w:color w:val="auto"/>
          <w:w w:val="100"/>
          <w:kern w:val="2"/>
          <w:sz w:val="32"/>
          <w:szCs w:val="32"/>
          <w:highlight w:val="none"/>
          <w:lang w:val="en-US" w:eastAsia="zh-CN" w:bidi="ar-SA"/>
        </w:rPr>
        <w:t>“三公经费”控制率。</w:t>
      </w:r>
      <w:r>
        <w:rPr>
          <w:rFonts w:hint="eastAsia" w:ascii="仿宋" w:hAnsi="仿宋" w:eastAsia="仿宋" w:cs="仿宋"/>
          <w:color w:val="auto"/>
          <w:w w:val="100"/>
          <w:kern w:val="2"/>
          <w:sz w:val="32"/>
          <w:szCs w:val="32"/>
          <w:highlight w:val="none"/>
          <w:lang w:val="en-US" w:eastAsia="zh-CN" w:bidi="ar-SA"/>
        </w:rPr>
        <w:t>本年度</w:t>
      </w:r>
      <w:r>
        <w:rPr>
          <w:rFonts w:hint="default" w:ascii="仿宋" w:hAnsi="仿宋" w:eastAsia="仿宋" w:cs="仿宋"/>
          <w:color w:val="auto"/>
          <w:w w:val="100"/>
          <w:kern w:val="2"/>
          <w:sz w:val="32"/>
          <w:szCs w:val="32"/>
          <w:highlight w:val="none"/>
          <w:lang w:val="en-US" w:eastAsia="zh-CN" w:bidi="ar-SA"/>
        </w:rPr>
        <w:t>“三公经费”实际支出数为</w:t>
      </w:r>
      <w:r>
        <w:rPr>
          <w:rFonts w:hint="eastAsia" w:ascii="仿宋" w:hAnsi="仿宋" w:eastAsia="仿宋" w:cs="仿宋"/>
          <w:color w:val="auto"/>
          <w:w w:val="100"/>
          <w:kern w:val="2"/>
          <w:sz w:val="32"/>
          <w:szCs w:val="32"/>
          <w:highlight w:val="none"/>
          <w:lang w:val="en-US" w:eastAsia="zh-CN" w:bidi="ar-SA"/>
        </w:rPr>
        <w:t>1.78</w:t>
      </w:r>
      <w:r>
        <w:rPr>
          <w:rFonts w:hint="default" w:ascii="仿宋" w:hAnsi="仿宋" w:eastAsia="仿宋" w:cs="仿宋"/>
          <w:color w:val="auto"/>
          <w:w w:val="100"/>
          <w:kern w:val="2"/>
          <w:sz w:val="32"/>
          <w:szCs w:val="32"/>
          <w:highlight w:val="none"/>
          <w:lang w:val="en-US" w:eastAsia="zh-CN" w:bidi="ar-SA"/>
        </w:rPr>
        <w:t>万元，“三公经费”预算控制数为</w:t>
      </w:r>
      <w:r>
        <w:rPr>
          <w:rFonts w:hint="eastAsia" w:ascii="仿宋" w:hAnsi="仿宋" w:eastAsia="仿宋" w:cs="仿宋"/>
          <w:color w:val="auto"/>
          <w:w w:val="100"/>
          <w:kern w:val="2"/>
          <w:sz w:val="32"/>
          <w:szCs w:val="32"/>
          <w:highlight w:val="none"/>
          <w:lang w:val="en-US" w:eastAsia="zh-CN" w:bidi="ar-SA"/>
        </w:rPr>
        <w:t>2.50</w:t>
      </w:r>
      <w:r>
        <w:rPr>
          <w:rFonts w:hint="default" w:ascii="仿宋" w:hAnsi="仿宋" w:eastAsia="仿宋" w:cs="仿宋"/>
          <w:color w:val="auto"/>
          <w:w w:val="100"/>
          <w:kern w:val="2"/>
          <w:sz w:val="32"/>
          <w:szCs w:val="32"/>
          <w:highlight w:val="none"/>
          <w:lang w:val="en-US" w:eastAsia="zh-CN" w:bidi="ar-SA"/>
        </w:rPr>
        <w:t>万元，“三公经费”控制率为</w:t>
      </w:r>
      <w:r>
        <w:rPr>
          <w:rFonts w:hint="eastAsia" w:ascii="仿宋" w:hAnsi="仿宋" w:eastAsia="仿宋" w:cs="仿宋"/>
          <w:color w:val="auto"/>
          <w:w w:val="100"/>
          <w:kern w:val="2"/>
          <w:sz w:val="32"/>
          <w:szCs w:val="32"/>
          <w:highlight w:val="none"/>
          <w:lang w:val="en-US" w:eastAsia="zh-CN" w:bidi="ar-SA"/>
        </w:rPr>
        <w:t>71.20</w:t>
      </w:r>
      <w:r>
        <w:rPr>
          <w:rFonts w:hint="default" w:ascii="仿宋" w:hAnsi="仿宋" w:eastAsia="仿宋" w:cs="仿宋"/>
          <w:color w:val="auto"/>
          <w:w w:val="100"/>
          <w:kern w:val="2"/>
          <w:sz w:val="32"/>
          <w:szCs w:val="32"/>
          <w:highlight w:val="none"/>
          <w:lang w:val="en-US" w:eastAsia="zh-CN" w:bidi="ar-SA"/>
        </w:rPr>
        <w:t>%。</w:t>
      </w:r>
    </w:p>
    <w:p w14:paraId="280BC2D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4.“三公经费”变动率。本年度“三公经费”预算数2.50万元，上年度“三公经费”预算数0万元，“三公经费”变动率为0%。</w:t>
      </w:r>
    </w:p>
    <w:p w14:paraId="69C8EDB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5.政府采购控制率。2024年度我中心政府采购预算0万元，实际政府采购金额20.31万元，政府采购控制率0%。</w:t>
      </w:r>
    </w:p>
    <w:p w14:paraId="7CFD2E1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（三）</w:t>
      </w:r>
      <w:r>
        <w:rPr>
          <w:rFonts w:hint="default" w:ascii="仿宋" w:hAnsi="仿宋" w:eastAsia="仿宋" w:cs="仿宋"/>
          <w:color w:val="auto"/>
          <w:w w:val="100"/>
          <w:kern w:val="2"/>
          <w:sz w:val="32"/>
          <w:szCs w:val="32"/>
          <w:highlight w:val="none"/>
          <w:lang w:val="en-US" w:eastAsia="zh-CN" w:bidi="ar-SA"/>
        </w:rPr>
        <w:t>管理效率</w:t>
      </w:r>
    </w:p>
    <w:p w14:paraId="48F332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1.预算编制</w:t>
      </w:r>
    </w:p>
    <w:p w14:paraId="72D2E8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我中心按照预算法要求进行“一上”申报，在“一下”的基础上进行修改进行“二上”申报，形成以单位领导支持、财务部门牵头、其他部门密切配合的工作格局，保证预算编制质量。年度预算与履职目标衔接紧密，预算编制依据充分、数据详实、结构优化、细化可执行。</w:t>
      </w:r>
    </w:p>
    <w:p w14:paraId="6A7D815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2.预算执行</w:t>
      </w:r>
    </w:p>
    <w:p w14:paraId="3EF1AB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部门预算经批复后，跟踪预算执行进度，及时组织收入，科学合理安排支出，降低预算支出的波动幅度；严格执行项目支出预算，积极组织项目实施；加强对预算执行过程的控制和结果的反馈，对预算执行差异及时分析成因和影响，并及时向领导和相关科室进行反馈，以采取措施纠正执行偏差，促进预算目标的全面完成；采取有效措施，加快预算执行进度，全年预算执行率达到100%。</w:t>
      </w:r>
    </w:p>
    <w:p w14:paraId="6B9F41E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p>
    <w:p w14:paraId="7632EE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3.预决算信息公开性</w:t>
      </w:r>
    </w:p>
    <w:p w14:paraId="27A8CDC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default" w:ascii="仿宋" w:hAnsi="仿宋" w:eastAsia="仿宋" w:cs="仿宋"/>
          <w:color w:val="auto"/>
          <w:w w:val="100"/>
          <w:kern w:val="2"/>
          <w:sz w:val="32"/>
          <w:szCs w:val="32"/>
          <w:highlight w:val="none"/>
          <w:lang w:val="en-US" w:eastAsia="zh-CN" w:bidi="ar-SA"/>
        </w:rPr>
        <w:t>真实准确编制部门预算和决算，按时上报基础数据资料。对上年度部门整体支出进行了绩效评价，对标找差距。按规定时限和规定内容公开部门预算、部门决算以及绩效自评报告。各项应向社会公开的信息及时、完整、真实，更加细化，部门预决算信息透明度进一步提高。 </w:t>
      </w:r>
    </w:p>
    <w:p w14:paraId="59A6EB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4.绩效管理</w:t>
      </w:r>
    </w:p>
    <w:p w14:paraId="778AC0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2024年年初，我中心按照要求完成了怀化市财政局2024年度预算绩效目标审核工作。</w:t>
      </w:r>
    </w:p>
    <w:p w14:paraId="29CAB9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2024年9月，根据《怀化市财政局关于开展2024年度市级财政资金绩效运行监控工作的通知》（怀财绩〔2024〕90号）有关规定，我中心高度重视，组织开展了2024年1-7月份部门整体支出和项目支出绩效运行监控工作，由综合办公室分管财务领导牵头，其他业务科室配合财务人员完成资料收集及汇总，按照年初绩效目标对1-7月份部门整体预算执行情况和绩效目标实现程度进行了统计分析，对绩效监控中发现的绩效目标执行偏差和管理漏洞，及时采取有针对性的措施予以纠正，不断改进和加强预算绩效管理。</w:t>
      </w:r>
    </w:p>
    <w:p w14:paraId="1EC614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2025年6月，按照</w:t>
      </w:r>
      <w:r>
        <w:rPr>
          <w:rFonts w:hint="eastAsia" w:ascii="仿宋" w:hAnsi="仿宋" w:eastAsia="仿宋" w:cs="仿宋"/>
          <w:color w:val="auto"/>
          <w:w w:val="100"/>
          <w:sz w:val="32"/>
          <w:szCs w:val="32"/>
          <w:highlight w:val="none"/>
          <w:lang w:val="en-US" w:eastAsia="zh-CN"/>
        </w:rPr>
        <w:t>怀财绩〔2025〕32号文件要求，我中心认真开展绩效自评工作，对2024年整体支出和项目支出实施了预算绩效自评。</w:t>
      </w:r>
    </w:p>
    <w:p w14:paraId="7B9A5E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5.</w:t>
      </w:r>
      <w:r>
        <w:rPr>
          <w:rFonts w:hint="default" w:ascii="仿宋" w:hAnsi="仿宋" w:eastAsia="仿宋" w:cs="仿宋"/>
          <w:color w:val="auto"/>
          <w:w w:val="100"/>
          <w:kern w:val="2"/>
          <w:sz w:val="32"/>
          <w:szCs w:val="32"/>
          <w:highlight w:val="none"/>
          <w:lang w:val="en-US" w:eastAsia="zh-CN" w:bidi="ar-SA"/>
        </w:rPr>
        <w:t>管理制度健全性</w:t>
      </w:r>
    </w:p>
    <w:p w14:paraId="34AC1C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严格落实有关法律法规、财经纪律、财政部门规范性文件及有关管理制度的要求，规范财务审批程序，大力推行公务卡结算，购买商品和服务的支出，按财政部门统一的标准和审批程序执行。</w:t>
      </w:r>
    </w:p>
    <w:p w14:paraId="26AB8C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6.</w:t>
      </w:r>
      <w:r>
        <w:rPr>
          <w:rFonts w:hint="default" w:ascii="仿宋" w:hAnsi="仿宋" w:eastAsia="仿宋" w:cs="仿宋"/>
          <w:color w:val="auto"/>
          <w:w w:val="100"/>
          <w:kern w:val="2"/>
          <w:sz w:val="32"/>
          <w:szCs w:val="32"/>
          <w:highlight w:val="none"/>
          <w:lang w:val="en-US" w:eastAsia="zh-CN" w:bidi="ar-SA"/>
        </w:rPr>
        <w:t>资金使用合规性</w:t>
      </w:r>
    </w:p>
    <w:p w14:paraId="786CBD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32" w:firstLineChars="200"/>
        <w:textAlignment w:val="auto"/>
        <w:rPr>
          <w:rFonts w:hint="eastAsia" w:ascii="仿宋" w:hAnsi="仿宋" w:eastAsia="仿宋"/>
          <w:spacing w:val="-2"/>
          <w:w w:val="100"/>
          <w:sz w:val="32"/>
          <w:szCs w:val="32"/>
        </w:rPr>
      </w:pPr>
      <w:r>
        <w:rPr>
          <w:rFonts w:hint="eastAsia" w:ascii="仿宋" w:hAnsi="仿宋" w:eastAsia="仿宋"/>
          <w:spacing w:val="-2"/>
          <w:w w:val="100"/>
          <w:sz w:val="32"/>
          <w:szCs w:val="32"/>
        </w:rPr>
        <w:t>严格落实中央八项规定和有关公务支出标准。加强经费合法合规性审核和预算控制，严格按制度政策办事，资金使用合法合规，支出手续齐全，程序到位。</w:t>
      </w:r>
    </w:p>
    <w:p w14:paraId="5CFB02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7.</w:t>
      </w:r>
      <w:r>
        <w:rPr>
          <w:rFonts w:hint="default" w:ascii="仿宋" w:hAnsi="仿宋" w:eastAsia="仿宋" w:cs="仿宋"/>
          <w:color w:val="auto"/>
          <w:w w:val="100"/>
          <w:kern w:val="2"/>
          <w:sz w:val="32"/>
          <w:szCs w:val="32"/>
          <w:highlight w:val="none"/>
          <w:lang w:val="en-US" w:eastAsia="zh-CN" w:bidi="ar-SA"/>
        </w:rPr>
        <w:t>资产管理</w:t>
      </w:r>
    </w:p>
    <w:p w14:paraId="0C2AB0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我中心严格执行资产配置、使用、处置管理办法，做到购置有预算，实物有专人管理，处置按流程，定期盘点清理资产，掌握固定资产的使用情况，确保设备完好提高利用率。资产账务管理合规、账实相符、处置规范。</w:t>
      </w:r>
    </w:p>
    <w:p w14:paraId="60A0C66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（四）</w:t>
      </w:r>
      <w:r>
        <w:rPr>
          <w:rFonts w:hint="default" w:ascii="仿宋" w:hAnsi="仿宋" w:eastAsia="仿宋" w:cs="仿宋"/>
          <w:color w:val="auto"/>
          <w:w w:val="100"/>
          <w:kern w:val="2"/>
          <w:sz w:val="32"/>
          <w:szCs w:val="32"/>
          <w:highlight w:val="none"/>
          <w:lang w:val="en-US" w:eastAsia="zh-CN" w:bidi="ar-SA"/>
        </w:rPr>
        <w:t>履职效能</w:t>
      </w:r>
    </w:p>
    <w:p w14:paraId="130522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1.年度总体目标完成情况</w:t>
      </w:r>
    </w:p>
    <w:p w14:paraId="49E01C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2024年以来，地灾中心在局党组的正确领导下，以习近平总书记关于防灾减灾救灾“两个坚持、三个转变”重要论述为根本遵循，始终坚持人民至上、生命至上，在完善体系、健全机制、夯实责任、狠抓落实上下功夫，经过全市上下艰辛努力、主动作为、部门协同奋战，在册地灾隐患点及切坡建房户未发生因地质灾害造成的人员伤亡和重大财产损失，较好的实现了地灾年度防治目标。年度总体目标完成情况具体如下：</w:t>
      </w:r>
    </w:p>
    <w:p w14:paraId="49A4C7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b/>
          <w:bCs/>
          <w:color w:val="auto"/>
          <w:w w:val="100"/>
          <w:kern w:val="2"/>
          <w:sz w:val="32"/>
          <w:szCs w:val="32"/>
          <w:highlight w:val="none"/>
          <w:lang w:val="en-US" w:eastAsia="zh-CN" w:bidi="ar-SA"/>
        </w:rPr>
        <w:t>落实落细隐患排查。</w:t>
      </w:r>
      <w:r>
        <w:rPr>
          <w:rFonts w:hint="eastAsia" w:ascii="仿宋" w:hAnsi="仿宋" w:eastAsia="仿宋" w:cs="仿宋"/>
          <w:color w:val="auto"/>
          <w:w w:val="100"/>
          <w:kern w:val="2"/>
          <w:sz w:val="32"/>
          <w:szCs w:val="32"/>
          <w:highlight w:val="none"/>
          <w:lang w:val="en-US" w:eastAsia="zh-CN" w:bidi="ar-SA"/>
        </w:rPr>
        <w:t>首先以市地质灾害防治工作防治工作领导小组的名义下发关于开展年度汛前、汛中排查工作的通知，要求对所有在册隐患点、中风险及以上斜坡（沟谷）单元、切坡建房户、临坡临沟临崖临水住户、交通沿线、旅游景区、学校、医院、人口密集区、在建工程等进行全覆盖排查，完善“一案两卡”，做到防灾责任事项清晰明了，措施精准到点、到人，防范知识和风险信息告知到户到人。通过汛前、汛中、汛后巡排查，做到了底数清，责任明，为地灾防治的工作奠定了良好基础。</w:t>
      </w:r>
    </w:p>
    <w:p w14:paraId="57E0BB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b/>
          <w:bCs/>
          <w:color w:val="auto"/>
          <w:w w:val="100"/>
          <w:kern w:val="2"/>
          <w:sz w:val="32"/>
          <w:szCs w:val="32"/>
          <w:highlight w:val="none"/>
          <w:lang w:val="en-US" w:eastAsia="zh-CN" w:bidi="ar-SA"/>
        </w:rPr>
        <w:t>强化值班值守制度。</w:t>
      </w:r>
      <w:r>
        <w:rPr>
          <w:rFonts w:hint="eastAsia" w:ascii="仿宋" w:hAnsi="仿宋" w:eastAsia="仿宋" w:cs="仿宋"/>
          <w:color w:val="auto"/>
          <w:w w:val="100"/>
          <w:kern w:val="2"/>
          <w:sz w:val="32"/>
          <w:szCs w:val="32"/>
          <w:highlight w:val="none"/>
          <w:lang w:val="en-US" w:eastAsia="zh-CN" w:bidi="ar-SA"/>
        </w:rPr>
        <w:t>入汛前，对参与值班人员进行了调整，挑选了熟悉业务，工作责任心强的人员参与值班，并进行了上岗前的培训。严格执行领导带班24小时双人双岗值班制度，村组和隐患点执行24小时值守和动态巡查监测制度，确保盯防不空档。同时，加强调度指挥，密切关注雨情变化趋势，提前发布预警信息，做到雨下到哪里，预警信息就发布到哪里。特别强化对降雨重点落区乡镇调度（特别关注夜间的叫应和转移到位），除调度乡镇值班室外，还加密了对隐患点片（点）长、风险区巡查员直接调度频次，以及预警信息和转移指令发送后执行情况的调度，及时全面掌握隐患的情况。着力发挥点长片长、巡查员地灾监测预警“前哨”作用，全力打通预警预防的“最后一厘米”。</w:t>
      </w:r>
    </w:p>
    <w:p w14:paraId="4D5D8B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b/>
          <w:bCs/>
          <w:color w:val="auto"/>
          <w:w w:val="100"/>
          <w:kern w:val="2"/>
          <w:sz w:val="32"/>
          <w:szCs w:val="32"/>
          <w:highlight w:val="none"/>
          <w:lang w:val="en-US" w:eastAsia="zh-CN" w:bidi="ar-SA"/>
        </w:rPr>
        <w:t>加强“人防+技防”建设。</w:t>
      </w:r>
      <w:r>
        <w:rPr>
          <w:rFonts w:hint="eastAsia" w:ascii="仿宋" w:hAnsi="仿宋" w:eastAsia="仿宋" w:cs="仿宋"/>
          <w:color w:val="auto"/>
          <w:w w:val="100"/>
          <w:kern w:val="2"/>
          <w:sz w:val="32"/>
          <w:szCs w:val="32"/>
          <w:highlight w:val="none"/>
          <w:lang w:val="en-US" w:eastAsia="zh-CN" w:bidi="ar-SA"/>
        </w:rPr>
        <w:t>持续做好往年地灾监测预警项目设备的运行维护工作，不断提高设备在线率，确保设备良好运行。</w:t>
      </w:r>
    </w:p>
    <w:p w14:paraId="6A602C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b/>
          <w:bCs/>
          <w:color w:val="auto"/>
          <w:w w:val="100"/>
          <w:kern w:val="2"/>
          <w:sz w:val="32"/>
          <w:szCs w:val="32"/>
          <w:highlight w:val="none"/>
          <w:lang w:val="en-US" w:eastAsia="zh-CN" w:bidi="ar-SA"/>
        </w:rPr>
        <w:t>广泛宣传，提高群众知晓率。</w:t>
      </w:r>
      <w:r>
        <w:rPr>
          <w:rFonts w:hint="eastAsia" w:ascii="仿宋" w:hAnsi="仿宋" w:eastAsia="仿宋" w:cs="仿宋"/>
          <w:color w:val="auto"/>
          <w:w w:val="100"/>
          <w:kern w:val="2"/>
          <w:sz w:val="32"/>
          <w:szCs w:val="32"/>
          <w:highlight w:val="none"/>
          <w:lang w:val="en-US" w:eastAsia="zh-CN" w:bidi="ar-SA"/>
        </w:rPr>
        <w:t>为切实提高群众防灾减灾潜力，增强群众防灾减灾意识，最大限度减少灾害造成的损失，我中心充分利用“4.22世界地球日”、“5.12防灾减灾日”、6月安全生产月等多渠道、多形式开展防灾减灾宣传活动。</w:t>
      </w:r>
    </w:p>
    <w:p w14:paraId="683B7E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b/>
          <w:bCs/>
          <w:color w:val="auto"/>
          <w:w w:val="100"/>
          <w:kern w:val="2"/>
          <w:sz w:val="32"/>
          <w:szCs w:val="32"/>
          <w:highlight w:val="none"/>
          <w:lang w:val="en-US" w:eastAsia="zh-CN" w:bidi="ar-SA"/>
        </w:rPr>
        <w:t>开展避险演练，提高自救互救能力。</w:t>
      </w:r>
      <w:r>
        <w:rPr>
          <w:rFonts w:hint="eastAsia" w:ascii="仿宋" w:hAnsi="仿宋" w:eastAsia="仿宋" w:cs="仿宋"/>
          <w:color w:val="auto"/>
          <w:w w:val="100"/>
          <w:kern w:val="2"/>
          <w:sz w:val="32"/>
          <w:szCs w:val="32"/>
          <w:highlight w:val="none"/>
          <w:lang w:val="en-US" w:eastAsia="zh-CN" w:bidi="ar-SA"/>
        </w:rPr>
        <w:t>为让人民群众掌握了解避险的正确方法，熟悉逃生路线，熟知避险临时安置处，有序快速撤离危险区，进一步增强群众的应急避险意识和自救互救能力，开展应急避险演练。演练达到检验应急队伍、增强协作能力，提升防灾意识能力的目的。</w:t>
      </w:r>
    </w:p>
    <w:p w14:paraId="50D481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b/>
          <w:bCs/>
          <w:color w:val="auto"/>
          <w:w w:val="100"/>
          <w:kern w:val="2"/>
          <w:sz w:val="32"/>
          <w:szCs w:val="32"/>
          <w:highlight w:val="none"/>
          <w:lang w:val="en-US" w:eastAsia="zh-CN" w:bidi="ar-SA"/>
        </w:rPr>
        <w:t>矿产资源相关事务性工作：</w:t>
      </w:r>
      <w:r>
        <w:rPr>
          <w:rFonts w:hint="eastAsia" w:ascii="仿宋" w:hAnsi="仿宋" w:eastAsia="仿宋" w:cs="仿宋"/>
          <w:color w:val="auto"/>
          <w:w w:val="100"/>
          <w:kern w:val="2"/>
          <w:sz w:val="32"/>
          <w:szCs w:val="32"/>
          <w:highlight w:val="none"/>
          <w:lang w:val="en-US" w:eastAsia="zh-CN" w:bidi="ar-SA"/>
        </w:rPr>
        <w:t>完成2024年度怀化市市级核查矿业权总数3宗；组织审查矿产类技术报告74份，配合科室参与矿权出让计划、储量年度统计、信息公示核查、规划调整等工作；组织审查地灾类技术报告10份，配合科室参与重大地质灾害治理项目立项、变更、中期检查和竣工验收工作。</w:t>
      </w:r>
    </w:p>
    <w:p w14:paraId="5621E9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2.绩效目标指标完成情况</w:t>
      </w:r>
    </w:p>
    <w:p w14:paraId="09F8C7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2024年度，我中心结合部门职能与年度总体工作任务设置了三级成本指标3个、产出指标7个、效益指标5个、满意度指标1个，指标完成情况如下：</w:t>
      </w:r>
    </w:p>
    <w:p w14:paraId="5AAD8A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（1）成本指标分析</w:t>
      </w:r>
    </w:p>
    <w:p w14:paraId="7F95B9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default" w:ascii="仿宋" w:hAnsi="仿宋" w:eastAsia="仿宋" w:cs="仿宋"/>
          <w:color w:val="auto"/>
          <w:w w:val="100"/>
          <w:kern w:val="2"/>
          <w:sz w:val="32"/>
          <w:szCs w:val="32"/>
          <w:highlight w:val="none"/>
          <w:lang w:val="en-US" w:eastAsia="zh-CN" w:bidi="ar-SA"/>
        </w:rPr>
        <w:t>整体成本控制271.51万元</w:t>
      </w:r>
      <w:r>
        <w:rPr>
          <w:rFonts w:hint="eastAsia" w:ascii="仿宋" w:hAnsi="仿宋" w:eastAsia="仿宋" w:cs="仿宋"/>
          <w:color w:val="auto"/>
          <w:w w:val="100"/>
          <w:kern w:val="2"/>
          <w:sz w:val="32"/>
          <w:szCs w:val="32"/>
          <w:highlight w:val="none"/>
          <w:lang w:val="en-US" w:eastAsia="zh-CN" w:bidi="ar-SA"/>
        </w:rPr>
        <w:t>，社会成本节约率0%，生态环境成本节约率0%。完成年初目标。</w:t>
      </w:r>
    </w:p>
    <w:p w14:paraId="27D66A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（2）产出指标分析</w:t>
      </w:r>
    </w:p>
    <w:p w14:paraId="3A2530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2024年度完成汛前排查、汛中巡查、汛后核查工作，开展防灾减灾宣传活动3次以上，地质灾害防治知识培训2次，地质灾害应急演练1次，地质灾害应急演练、宣传覆盖率达100%，监测设备在线率92%。完成年初目标。</w:t>
      </w:r>
    </w:p>
    <w:p w14:paraId="0292B5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（3）效益指标分析</w:t>
      </w:r>
    </w:p>
    <w:p w14:paraId="06814F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最大限度减少灾害损失；监测预警区地质灾害防范能力有所提高；群众防灾避险意识和临灾避险能力有所提高；工程治理区群众生命财产安全保障有所提升；推进全市地质灾害防治发展和生态保护修复；推动全市地质灾害防治、矿产资源可持续发展。基本完成年初目标。</w:t>
      </w:r>
    </w:p>
    <w:p w14:paraId="7938E91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（4）</w:t>
      </w:r>
      <w:r>
        <w:rPr>
          <w:rFonts w:hint="default" w:ascii="仿宋" w:hAnsi="仿宋" w:eastAsia="仿宋" w:cs="仿宋"/>
          <w:color w:val="auto"/>
          <w:w w:val="100"/>
          <w:kern w:val="2"/>
          <w:sz w:val="32"/>
          <w:szCs w:val="32"/>
          <w:highlight w:val="none"/>
          <w:lang w:val="en-US" w:eastAsia="zh-CN" w:bidi="ar-SA"/>
        </w:rPr>
        <w:t>满意度</w:t>
      </w:r>
      <w:r>
        <w:rPr>
          <w:rFonts w:hint="eastAsia" w:ascii="仿宋" w:hAnsi="仿宋" w:eastAsia="仿宋" w:cs="仿宋"/>
          <w:color w:val="auto"/>
          <w:w w:val="100"/>
          <w:kern w:val="2"/>
          <w:sz w:val="32"/>
          <w:szCs w:val="32"/>
          <w:highlight w:val="none"/>
          <w:lang w:val="en-US" w:eastAsia="zh-CN" w:bidi="ar-SA"/>
        </w:rPr>
        <w:t>指标分析</w:t>
      </w:r>
    </w:p>
    <w:p w14:paraId="4059CD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社会公众满意度达95%，完成年初目标。</w:t>
      </w:r>
    </w:p>
    <w:p w14:paraId="7943E2D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w w:val="100"/>
          <w:sz w:val="32"/>
          <w:szCs w:val="32"/>
          <w:highlight w:val="none"/>
          <w:lang w:val="en-US" w:eastAsia="zh-CN"/>
        </w:rPr>
      </w:pPr>
      <w:r>
        <w:rPr>
          <w:rFonts w:hint="default" w:ascii="方正黑体_GBK" w:hAnsi="方正黑体_GBK" w:eastAsia="方正黑体_GBK" w:cs="方正黑体_GBK"/>
          <w:b/>
          <w:bCs/>
          <w:color w:val="auto"/>
          <w:w w:val="100"/>
          <w:sz w:val="32"/>
          <w:szCs w:val="32"/>
          <w:highlight w:val="none"/>
          <w:lang w:val="en-US" w:eastAsia="zh-CN"/>
        </w:rPr>
        <w:t>九、存在的问题及原因分析</w:t>
      </w:r>
    </w:p>
    <w:p w14:paraId="7E5758D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预算编制有待进一步准确。一是市地质灾害防治中心财政保障方式为差额拨款，无任何收费职能和经济来源，中心正常工作运转得不到保障，资金来源年初预算编制与实际执行存在差异。二是年初政府采购预算未包含电子卖场采购金额，导致政府采购预算小于政府采购执行。</w:t>
      </w:r>
    </w:p>
    <w:p w14:paraId="4F0F780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w w:val="100"/>
          <w:sz w:val="32"/>
          <w:szCs w:val="32"/>
          <w:highlight w:val="none"/>
          <w:lang w:val="en-US" w:eastAsia="zh-CN"/>
        </w:rPr>
      </w:pPr>
      <w:r>
        <w:rPr>
          <w:rFonts w:hint="default" w:ascii="方正黑体_GBK" w:hAnsi="方正黑体_GBK" w:eastAsia="方正黑体_GBK" w:cs="方正黑体_GBK"/>
          <w:b/>
          <w:bCs/>
          <w:color w:val="auto"/>
          <w:w w:val="100"/>
          <w:sz w:val="32"/>
          <w:szCs w:val="32"/>
          <w:highlight w:val="none"/>
          <w:lang w:val="en-US" w:eastAsia="zh-CN"/>
        </w:rPr>
        <w:t>十、下一步改进措施</w:t>
      </w:r>
    </w:p>
    <w:p w14:paraId="7163D71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一是积极与市财政局对口科室、预算科沟通单位情况，按照实事求是、积极稳妥原则编实、编准、编细年度部门预算经费来源，做到预算精准、有据可依。</w:t>
      </w:r>
    </w:p>
    <w:p w14:paraId="3DF8C9E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eastAsia" w:ascii="仿宋" w:hAnsi="仿宋" w:eastAsia="仿宋" w:cs="仿宋"/>
          <w:color w:val="auto"/>
          <w:w w:val="100"/>
          <w:kern w:val="2"/>
          <w:sz w:val="32"/>
          <w:szCs w:val="32"/>
          <w:highlight w:val="none"/>
          <w:lang w:val="en-US" w:eastAsia="zh-CN" w:bidi="ar-SA"/>
        </w:rPr>
        <w:t>二是按照《中华人民共和国预算法》《中华人民共和国政府采购法》及市财政局政府采购限额标准和政府采购集中采购目录，科学合理编制政府采购预算，切实把预算编实编细。</w:t>
      </w:r>
    </w:p>
    <w:p w14:paraId="6A2EBD7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w w:val="100"/>
          <w:sz w:val="32"/>
          <w:szCs w:val="32"/>
          <w:highlight w:val="none"/>
          <w:lang w:val="en-US" w:eastAsia="zh-CN"/>
        </w:rPr>
      </w:pPr>
      <w:r>
        <w:rPr>
          <w:rFonts w:hint="default" w:ascii="方正黑体_GBK" w:hAnsi="方正黑体_GBK" w:eastAsia="方正黑体_GBK" w:cs="方正黑体_GBK"/>
          <w:b/>
          <w:bCs/>
          <w:color w:val="auto"/>
          <w:w w:val="100"/>
          <w:sz w:val="32"/>
          <w:szCs w:val="32"/>
          <w:highlight w:val="none"/>
          <w:lang w:val="en-US" w:eastAsia="zh-CN"/>
        </w:rPr>
        <w:t>十一、绩效自评结果拟应用和公开情况</w:t>
      </w:r>
    </w:p>
    <w:p w14:paraId="200DFEB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default" w:ascii="仿宋" w:hAnsi="仿宋" w:eastAsia="仿宋" w:cs="仿宋"/>
          <w:color w:val="auto"/>
          <w:w w:val="100"/>
          <w:kern w:val="2"/>
          <w:sz w:val="32"/>
          <w:szCs w:val="32"/>
          <w:highlight w:val="none"/>
          <w:lang w:val="en-US" w:eastAsia="zh-CN" w:bidi="ar-SA"/>
        </w:rPr>
        <w:t>绩效自评结果将作为下年部门预算安排的重要依据，与预算调整和项目安排挂钩。</w:t>
      </w:r>
    </w:p>
    <w:p w14:paraId="5CF7635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color w:val="auto"/>
          <w:w w:val="100"/>
          <w:kern w:val="2"/>
          <w:sz w:val="32"/>
          <w:szCs w:val="32"/>
          <w:highlight w:val="none"/>
          <w:lang w:val="en-US" w:eastAsia="zh-CN" w:bidi="ar-SA"/>
        </w:rPr>
      </w:pPr>
      <w:r>
        <w:rPr>
          <w:rFonts w:hint="default" w:ascii="仿宋" w:hAnsi="仿宋" w:eastAsia="仿宋" w:cs="仿宋"/>
          <w:color w:val="auto"/>
          <w:w w:val="100"/>
          <w:kern w:val="2"/>
          <w:sz w:val="32"/>
          <w:szCs w:val="32"/>
          <w:highlight w:val="none"/>
          <w:lang w:val="en-US" w:eastAsia="zh-CN" w:bidi="ar-SA"/>
        </w:rPr>
        <w:t>我</w:t>
      </w:r>
      <w:r>
        <w:rPr>
          <w:rFonts w:hint="eastAsia" w:ascii="仿宋" w:hAnsi="仿宋" w:eastAsia="仿宋" w:cs="仿宋"/>
          <w:color w:val="auto"/>
          <w:w w:val="100"/>
          <w:kern w:val="2"/>
          <w:sz w:val="32"/>
          <w:szCs w:val="32"/>
          <w:highlight w:val="none"/>
          <w:lang w:val="en-US" w:eastAsia="zh-CN" w:bidi="ar-SA"/>
        </w:rPr>
        <w:t>中心</w:t>
      </w:r>
      <w:r>
        <w:rPr>
          <w:rFonts w:hint="default" w:ascii="仿宋" w:hAnsi="仿宋" w:eastAsia="仿宋" w:cs="仿宋"/>
          <w:color w:val="auto"/>
          <w:w w:val="100"/>
          <w:kern w:val="2"/>
          <w:sz w:val="32"/>
          <w:szCs w:val="32"/>
          <w:highlight w:val="none"/>
          <w:lang w:val="en-US" w:eastAsia="zh-CN" w:bidi="ar-SA"/>
        </w:rPr>
        <w:t>绩效自评情况按</w:t>
      </w:r>
      <w:r>
        <w:rPr>
          <w:rFonts w:hint="eastAsia" w:ascii="仿宋" w:hAnsi="仿宋" w:eastAsia="仿宋" w:cs="仿宋"/>
          <w:color w:val="auto"/>
          <w:w w:val="100"/>
          <w:kern w:val="2"/>
          <w:sz w:val="32"/>
          <w:szCs w:val="32"/>
          <w:highlight w:val="none"/>
          <w:lang w:val="en-US" w:eastAsia="zh-CN" w:bidi="ar-SA"/>
        </w:rPr>
        <w:t>市财政局</w:t>
      </w:r>
      <w:r>
        <w:rPr>
          <w:rFonts w:hint="default" w:ascii="仿宋" w:hAnsi="仿宋" w:eastAsia="仿宋" w:cs="仿宋"/>
          <w:color w:val="auto"/>
          <w:w w:val="100"/>
          <w:kern w:val="2"/>
          <w:sz w:val="32"/>
          <w:szCs w:val="32"/>
          <w:highlight w:val="none"/>
          <w:lang w:val="en-US" w:eastAsia="zh-CN" w:bidi="ar-SA"/>
        </w:rPr>
        <w:t>文件精神要求，按时、保质在</w:t>
      </w:r>
      <w:r>
        <w:rPr>
          <w:rFonts w:hint="eastAsia" w:ascii="仿宋" w:hAnsi="仿宋" w:eastAsia="仿宋" w:cs="仿宋"/>
          <w:color w:val="auto"/>
          <w:w w:val="100"/>
          <w:kern w:val="2"/>
          <w:sz w:val="32"/>
          <w:szCs w:val="32"/>
          <w:highlight w:val="none"/>
          <w:lang w:val="en-US" w:eastAsia="zh-CN" w:bidi="ar-SA"/>
        </w:rPr>
        <w:t>网站</w:t>
      </w:r>
      <w:r>
        <w:rPr>
          <w:rFonts w:hint="default" w:ascii="仿宋" w:hAnsi="仿宋" w:eastAsia="仿宋" w:cs="仿宋"/>
          <w:color w:val="auto"/>
          <w:w w:val="100"/>
          <w:kern w:val="2"/>
          <w:sz w:val="32"/>
          <w:szCs w:val="32"/>
          <w:highlight w:val="none"/>
          <w:lang w:val="en-US" w:eastAsia="zh-CN" w:bidi="ar-SA"/>
        </w:rPr>
        <w:t>向社会公开，接受社会监督。</w:t>
      </w:r>
    </w:p>
    <w:p w14:paraId="0D944C4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w w:val="100"/>
          <w:sz w:val="32"/>
          <w:szCs w:val="32"/>
          <w:highlight w:val="none"/>
          <w:lang w:val="en-US" w:eastAsia="zh-CN"/>
        </w:rPr>
      </w:pPr>
      <w:r>
        <w:rPr>
          <w:rFonts w:hint="default" w:ascii="方正黑体_GBK" w:hAnsi="方正黑体_GBK" w:eastAsia="方正黑体_GBK" w:cs="方正黑体_GBK"/>
          <w:b/>
          <w:bCs/>
          <w:color w:val="auto"/>
          <w:w w:val="100"/>
          <w:sz w:val="32"/>
          <w:szCs w:val="32"/>
          <w:highlight w:val="none"/>
          <w:lang w:val="en-US" w:eastAsia="zh-CN"/>
        </w:rPr>
        <w:t>十二、其他需要说明的情况</w:t>
      </w:r>
    </w:p>
    <w:p w14:paraId="68E802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w w:val="100"/>
          <w:sz w:val="32"/>
          <w:szCs w:val="32"/>
          <w:highlight w:val="none"/>
          <w:lang w:val="en-US" w:eastAsia="zh-CN"/>
        </w:rPr>
      </w:pPr>
      <w:r>
        <w:rPr>
          <w:rFonts w:hint="eastAsia" w:ascii="仿宋" w:hAnsi="仿宋" w:eastAsia="仿宋" w:cs="仿宋"/>
          <w:color w:val="auto"/>
          <w:w w:val="100"/>
          <w:kern w:val="2"/>
          <w:sz w:val="32"/>
          <w:szCs w:val="32"/>
          <w:highlight w:val="none"/>
          <w:lang w:val="en-US" w:eastAsia="zh-CN" w:bidi="ar-SA"/>
        </w:rPr>
        <w:t>无。</w:t>
      </w:r>
    </w:p>
    <w:p w14:paraId="6A7645C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1C4CE5F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79F3628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1C9A28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0B257E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28AC6E9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54EE272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70DDFBE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55D465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政府性基金预算支出情况表</w:t>
      </w:r>
    </w:p>
    <w:p w14:paraId="44CD51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9BB9D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A7FFA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AF0A5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64458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37E2D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D00C8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9CACF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B7061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1AFC0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808A1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20F31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A358B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99984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3AFDBF40">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361F0C1F">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6C8E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644FFEA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1C98D9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A9EFA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9E9D69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3B6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7F0009BF">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12506EC6">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17</w:t>
            </w: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4E8E3B97">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17</w:t>
            </w: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06E6C1EE">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100</w:t>
            </w:r>
            <w:r>
              <w:rPr>
                <w:rFonts w:hint="default" w:ascii="Times New Roman" w:hAnsi="Times New Roman" w:eastAsia="仿宋" w:cs="Times New Roman"/>
                <w:b w:val="0"/>
                <w:bCs w:val="0"/>
                <w:kern w:val="0"/>
                <w:sz w:val="20"/>
                <w:szCs w:val="20"/>
                <w:lang w:val="en-US" w:eastAsia="zh-CN"/>
              </w:rPr>
              <w:t>%</w:t>
            </w:r>
            <w:r>
              <w:rPr>
                <w:rFonts w:hint="default" w:ascii="Times New Roman" w:hAnsi="Times New Roman" w:eastAsia="仿宋" w:cs="Times New Roman"/>
                <w:b w:val="0"/>
                <w:bCs w:val="0"/>
                <w:kern w:val="0"/>
                <w:sz w:val="20"/>
                <w:szCs w:val="20"/>
              </w:rPr>
              <w:t>　</w:t>
            </w:r>
          </w:p>
        </w:tc>
      </w:tr>
      <w:tr w14:paraId="7CD8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D5BF25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6AD728F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48766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7943B9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312C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5BDADB">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1C1ABAE0">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_GB2312" w:cs="Times New Roman"/>
                <w:sz w:val="20"/>
                <w:szCs w:val="20"/>
                <w:lang w:val="en-US" w:eastAsia="zh-CN"/>
              </w:rPr>
              <w:t>0</w:t>
            </w: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4C8C87FA">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2.50</w:t>
            </w: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03F481CF">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1.78　</w:t>
            </w:r>
          </w:p>
        </w:tc>
      </w:tr>
      <w:tr w14:paraId="2E4E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349B77">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23AEB32B">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_GB2312" w:cs="Times New Roman"/>
                <w:sz w:val="20"/>
                <w:szCs w:val="20"/>
                <w:lang w:val="en-US" w:eastAsia="zh-CN"/>
              </w:rPr>
              <w:t>0</w:t>
            </w:r>
          </w:p>
        </w:tc>
        <w:tc>
          <w:tcPr>
            <w:tcW w:w="2240" w:type="dxa"/>
            <w:gridSpan w:val="2"/>
            <w:noWrap w:val="0"/>
            <w:vAlign w:val="center"/>
          </w:tcPr>
          <w:p w14:paraId="719B73B0">
            <w:pPr>
              <w:widowControl/>
              <w:jc w:val="center"/>
              <w:rPr>
                <w:rFonts w:hint="default" w:ascii="Times New Roman" w:hAnsi="Times New Roman" w:eastAsia="仿宋" w:cs="Times New Roman"/>
                <w:b w:val="0"/>
                <w:bCs w:val="0"/>
                <w:kern w:val="0"/>
                <w:sz w:val="20"/>
                <w:szCs w:val="20"/>
                <w:lang w:val="en-US" w:eastAsia="zh-CN"/>
              </w:rPr>
            </w:pPr>
            <w:r>
              <w:rPr>
                <w:rFonts w:hint="eastAsia" w:ascii="Times New Roman" w:hAnsi="Times New Roman" w:eastAsia="仿宋" w:cs="Times New Roman"/>
                <w:b w:val="0"/>
                <w:bCs w:val="0"/>
                <w:kern w:val="0"/>
                <w:sz w:val="20"/>
                <w:szCs w:val="20"/>
                <w:lang w:val="en-US" w:eastAsia="zh-CN"/>
              </w:rPr>
              <w:t>2.50</w:t>
            </w:r>
          </w:p>
        </w:tc>
        <w:tc>
          <w:tcPr>
            <w:tcW w:w="1832" w:type="dxa"/>
            <w:gridSpan w:val="2"/>
            <w:noWrap w:val="0"/>
            <w:vAlign w:val="center"/>
          </w:tcPr>
          <w:p w14:paraId="64FCC4DD">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1.78　</w:t>
            </w:r>
          </w:p>
        </w:tc>
      </w:tr>
      <w:tr w14:paraId="50B1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1E5A9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7D4BCDB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05773CEE">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09CE3750">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r>
      <w:tr w14:paraId="3FC1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115A52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3019AEF3">
            <w:pPr>
              <w:widowControl/>
              <w:jc w:val="center"/>
              <w:rPr>
                <w:rFonts w:hint="eastAsia" w:ascii="Times New Roman" w:hAnsi="Times New Roman" w:eastAsia="仿宋" w:cs="Times New Roman"/>
                <w:b w:val="0"/>
                <w:bCs w:val="0"/>
                <w:kern w:val="0"/>
                <w:sz w:val="20"/>
                <w:szCs w:val="20"/>
                <w:lang w:val="en-US" w:eastAsia="zh-CN"/>
              </w:rPr>
            </w:pPr>
            <w:r>
              <w:rPr>
                <w:rFonts w:hint="eastAsia" w:ascii="Times New Roman" w:hAnsi="Times New Roman" w:eastAsia="仿宋" w:cs="Times New Roman"/>
                <w:b w:val="0"/>
                <w:bCs w:val="0"/>
                <w:kern w:val="0"/>
                <w:sz w:val="20"/>
                <w:szCs w:val="20"/>
                <w:lang w:val="en-US" w:eastAsia="zh-CN"/>
              </w:rPr>
              <w:t>0</w:t>
            </w:r>
          </w:p>
        </w:tc>
        <w:tc>
          <w:tcPr>
            <w:tcW w:w="2240" w:type="dxa"/>
            <w:gridSpan w:val="2"/>
            <w:noWrap w:val="0"/>
            <w:vAlign w:val="center"/>
          </w:tcPr>
          <w:p w14:paraId="18973460">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2.50</w:t>
            </w: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72C2C90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1.78　</w:t>
            </w:r>
          </w:p>
        </w:tc>
      </w:tr>
      <w:tr w14:paraId="418D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75CF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7E69F8C7">
            <w:pPr>
              <w:widowControl/>
              <w:jc w:val="center"/>
              <w:rPr>
                <w:rFonts w:hint="eastAsia" w:ascii="Times New Roman" w:hAnsi="Times New Roman" w:eastAsia="仿宋" w:cs="Times New Roman"/>
                <w:b w:val="0"/>
                <w:bCs w:val="0"/>
                <w:kern w:val="0"/>
                <w:sz w:val="20"/>
                <w:szCs w:val="20"/>
                <w:lang w:val="en-US" w:eastAsia="zh-CN"/>
              </w:rPr>
            </w:pPr>
            <w:r>
              <w:rPr>
                <w:rFonts w:hint="eastAsia" w:ascii="Times New Roman" w:hAnsi="Times New Roman" w:eastAsia="仿宋" w:cs="Times New Roman"/>
                <w:b w:val="0"/>
                <w:bCs w:val="0"/>
                <w:kern w:val="0"/>
                <w:sz w:val="20"/>
                <w:szCs w:val="20"/>
                <w:lang w:val="en-US" w:eastAsia="zh-CN"/>
              </w:rPr>
              <w:t>0</w:t>
            </w:r>
          </w:p>
        </w:tc>
        <w:tc>
          <w:tcPr>
            <w:tcW w:w="2240" w:type="dxa"/>
            <w:gridSpan w:val="2"/>
            <w:noWrap w:val="0"/>
            <w:vAlign w:val="center"/>
          </w:tcPr>
          <w:p w14:paraId="034E7ABD">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35992097">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r>
      <w:tr w14:paraId="4F75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5705F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76CADF02">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0</w:t>
            </w: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3B2B10DD">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38C23E71">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r>
      <w:tr w14:paraId="0CD7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317115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3F841EA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201.82</w:t>
            </w:r>
          </w:p>
        </w:tc>
        <w:tc>
          <w:tcPr>
            <w:tcW w:w="2240" w:type="dxa"/>
            <w:gridSpan w:val="2"/>
            <w:noWrap w:val="0"/>
            <w:vAlign w:val="center"/>
          </w:tcPr>
          <w:p w14:paraId="22A2A168">
            <w:pPr>
              <w:widowControl/>
              <w:jc w:val="center"/>
              <w:rPr>
                <w:rFonts w:hint="default" w:ascii="Times New Roman" w:hAnsi="Times New Roman" w:eastAsia="仿宋" w:cs="Times New Roman"/>
                <w:b w:val="0"/>
                <w:bCs w:val="0"/>
                <w:kern w:val="0"/>
                <w:sz w:val="20"/>
                <w:szCs w:val="20"/>
              </w:rPr>
            </w:pPr>
            <w:r>
              <w:rPr>
                <w:rFonts w:hint="eastAsia" w:ascii="Times New Roman" w:hAnsi="Times New Roman" w:eastAsia="仿宋" w:cs="Times New Roman"/>
                <w:b w:val="0"/>
                <w:bCs w:val="0"/>
                <w:kern w:val="0"/>
                <w:sz w:val="20"/>
                <w:szCs w:val="20"/>
                <w:lang w:val="en-US" w:eastAsia="zh-CN"/>
              </w:rPr>
              <w:t>0</w:t>
            </w: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47D255E4">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178.17</w:t>
            </w:r>
          </w:p>
        </w:tc>
      </w:tr>
      <w:tr w14:paraId="70D7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8DA5C8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6F1B7A31">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r>
              <w:rPr>
                <w:rFonts w:hint="default" w:ascii="Times New Roman" w:hAnsi="Times New Roman" w:eastAsia="仿宋_GB2312" w:cs="Times New Roman"/>
                <w:sz w:val="20"/>
                <w:szCs w:val="20"/>
                <w:lang w:val="en-US" w:eastAsia="zh-CN"/>
              </w:rPr>
              <w:t>　</w:t>
            </w:r>
          </w:p>
        </w:tc>
        <w:tc>
          <w:tcPr>
            <w:tcW w:w="2240" w:type="dxa"/>
            <w:gridSpan w:val="2"/>
            <w:noWrap w:val="0"/>
            <w:vAlign w:val="center"/>
          </w:tcPr>
          <w:p w14:paraId="58859A5B">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r>
              <w:rPr>
                <w:rFonts w:hint="default" w:ascii="Times New Roman" w:hAnsi="Times New Roman" w:eastAsia="仿宋_GB2312" w:cs="Times New Roman"/>
                <w:sz w:val="20"/>
                <w:szCs w:val="20"/>
                <w:lang w:val="en-US" w:eastAsia="zh-CN"/>
              </w:rPr>
              <w:t>　</w:t>
            </w:r>
          </w:p>
        </w:tc>
        <w:tc>
          <w:tcPr>
            <w:tcW w:w="1832" w:type="dxa"/>
            <w:gridSpan w:val="2"/>
            <w:noWrap w:val="0"/>
            <w:vAlign w:val="center"/>
          </w:tcPr>
          <w:p w14:paraId="1A1B76F8">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r>
              <w:rPr>
                <w:rFonts w:hint="default" w:ascii="Times New Roman" w:hAnsi="Times New Roman" w:eastAsia="仿宋_GB2312" w:cs="Times New Roman"/>
                <w:sz w:val="20"/>
                <w:szCs w:val="20"/>
                <w:lang w:val="en-US" w:eastAsia="zh-CN"/>
              </w:rPr>
              <w:t>　</w:t>
            </w:r>
          </w:p>
        </w:tc>
      </w:tr>
      <w:tr w14:paraId="56F0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3A008D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7F900988">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r>
              <w:rPr>
                <w:rFonts w:hint="default" w:ascii="Times New Roman" w:hAnsi="Times New Roman" w:eastAsia="仿宋_GB2312" w:cs="Times New Roman"/>
                <w:sz w:val="20"/>
                <w:szCs w:val="20"/>
                <w:lang w:val="en-US" w:eastAsia="zh-CN"/>
              </w:rPr>
              <w:t>　</w:t>
            </w:r>
          </w:p>
        </w:tc>
        <w:tc>
          <w:tcPr>
            <w:tcW w:w="2240" w:type="dxa"/>
            <w:gridSpan w:val="2"/>
            <w:noWrap w:val="0"/>
            <w:vAlign w:val="center"/>
          </w:tcPr>
          <w:p w14:paraId="228B88B7">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832" w:type="dxa"/>
            <w:gridSpan w:val="2"/>
            <w:noWrap w:val="0"/>
            <w:vAlign w:val="center"/>
          </w:tcPr>
          <w:p w14:paraId="1FC2F442">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2B90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38EC2AD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1DA4A877">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0E017ADD">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201.82</w:t>
            </w:r>
          </w:p>
        </w:tc>
        <w:tc>
          <w:tcPr>
            <w:tcW w:w="2240" w:type="dxa"/>
            <w:gridSpan w:val="2"/>
            <w:noWrap w:val="0"/>
            <w:vAlign w:val="center"/>
          </w:tcPr>
          <w:p w14:paraId="0CCE9AA5">
            <w:pPr>
              <w:widowControl/>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832" w:type="dxa"/>
            <w:gridSpan w:val="2"/>
            <w:noWrap w:val="0"/>
            <w:vAlign w:val="center"/>
          </w:tcPr>
          <w:p w14:paraId="79800FE4">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178.17</w:t>
            </w:r>
          </w:p>
        </w:tc>
      </w:tr>
      <w:tr w14:paraId="655A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587E63F">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地灾防治专项工作经费</w:t>
            </w:r>
          </w:p>
        </w:tc>
        <w:tc>
          <w:tcPr>
            <w:tcW w:w="2038" w:type="dxa"/>
            <w:gridSpan w:val="2"/>
            <w:noWrap w:val="0"/>
            <w:vAlign w:val="center"/>
          </w:tcPr>
          <w:p w14:paraId="20F87D8A">
            <w:pPr>
              <w:widowControl/>
              <w:jc w:val="center"/>
              <w:rPr>
                <w:rFonts w:hint="default" w:ascii="Times New Roman" w:hAnsi="Times New Roman" w:eastAsia="仿宋_GB2312" w:cs="Times New Roman"/>
                <w:sz w:val="20"/>
                <w:szCs w:val="20"/>
                <w:lang w:val="en-US" w:eastAsia="zh-CN"/>
              </w:rPr>
            </w:pPr>
          </w:p>
        </w:tc>
        <w:tc>
          <w:tcPr>
            <w:tcW w:w="2240" w:type="dxa"/>
            <w:gridSpan w:val="2"/>
            <w:noWrap w:val="0"/>
            <w:vAlign w:val="center"/>
          </w:tcPr>
          <w:p w14:paraId="07DD85DB">
            <w:pPr>
              <w:widowControl/>
              <w:jc w:val="center"/>
              <w:rPr>
                <w:rFonts w:hint="default" w:ascii="Times New Roman" w:hAnsi="Times New Roman" w:eastAsia="仿宋_GB2312" w:cs="Times New Roman"/>
                <w:sz w:val="20"/>
                <w:szCs w:val="20"/>
                <w:lang w:val="en-US" w:eastAsia="zh-CN"/>
              </w:rPr>
            </w:pPr>
          </w:p>
        </w:tc>
        <w:tc>
          <w:tcPr>
            <w:tcW w:w="1832" w:type="dxa"/>
            <w:gridSpan w:val="2"/>
            <w:noWrap w:val="0"/>
            <w:vAlign w:val="center"/>
          </w:tcPr>
          <w:p w14:paraId="27A8A85E">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45.85</w:t>
            </w:r>
          </w:p>
        </w:tc>
      </w:tr>
      <w:tr w14:paraId="2428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77E327">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湘财资环指〔2022〕80号2023年省级自然资源专项资金</w:t>
            </w:r>
          </w:p>
        </w:tc>
        <w:tc>
          <w:tcPr>
            <w:tcW w:w="2038" w:type="dxa"/>
            <w:gridSpan w:val="2"/>
            <w:noWrap w:val="0"/>
            <w:vAlign w:val="center"/>
          </w:tcPr>
          <w:p w14:paraId="663E616B">
            <w:pPr>
              <w:widowControl/>
              <w:jc w:val="center"/>
              <w:rPr>
                <w:rFonts w:hint="default" w:ascii="Times New Roman" w:hAnsi="Times New Roman" w:eastAsia="仿宋_GB2312" w:cs="Times New Roman"/>
                <w:sz w:val="20"/>
                <w:szCs w:val="20"/>
                <w:lang w:val="en-US" w:eastAsia="zh-CN"/>
              </w:rPr>
            </w:pPr>
          </w:p>
        </w:tc>
        <w:tc>
          <w:tcPr>
            <w:tcW w:w="2240" w:type="dxa"/>
            <w:gridSpan w:val="2"/>
            <w:noWrap w:val="0"/>
            <w:vAlign w:val="center"/>
          </w:tcPr>
          <w:p w14:paraId="21D50554">
            <w:pPr>
              <w:widowControl/>
              <w:jc w:val="center"/>
              <w:rPr>
                <w:rFonts w:hint="default" w:ascii="Times New Roman" w:hAnsi="Times New Roman" w:eastAsia="仿宋_GB2312" w:cs="Times New Roman"/>
                <w:sz w:val="20"/>
                <w:szCs w:val="20"/>
                <w:lang w:val="en-US" w:eastAsia="zh-CN"/>
              </w:rPr>
            </w:pPr>
          </w:p>
        </w:tc>
        <w:tc>
          <w:tcPr>
            <w:tcW w:w="1832" w:type="dxa"/>
            <w:gridSpan w:val="2"/>
            <w:noWrap w:val="0"/>
            <w:vAlign w:val="center"/>
          </w:tcPr>
          <w:p w14:paraId="7EA6D28A">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10</w:t>
            </w:r>
          </w:p>
        </w:tc>
      </w:tr>
      <w:tr w14:paraId="61EC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B034492">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湘财资环指〔2023〕76号2024年省级自然资源专项资金（地下水资源常规监测）</w:t>
            </w:r>
          </w:p>
        </w:tc>
        <w:tc>
          <w:tcPr>
            <w:tcW w:w="2038" w:type="dxa"/>
            <w:gridSpan w:val="2"/>
            <w:noWrap w:val="0"/>
            <w:vAlign w:val="center"/>
          </w:tcPr>
          <w:p w14:paraId="15730C66">
            <w:pPr>
              <w:widowControl/>
              <w:jc w:val="center"/>
              <w:rPr>
                <w:rFonts w:hint="default" w:ascii="Times New Roman" w:hAnsi="Times New Roman" w:eastAsia="仿宋_GB2312" w:cs="Times New Roman"/>
                <w:sz w:val="20"/>
                <w:szCs w:val="20"/>
                <w:lang w:val="en-US" w:eastAsia="zh-CN"/>
              </w:rPr>
            </w:pPr>
          </w:p>
        </w:tc>
        <w:tc>
          <w:tcPr>
            <w:tcW w:w="2240" w:type="dxa"/>
            <w:gridSpan w:val="2"/>
            <w:noWrap w:val="0"/>
            <w:vAlign w:val="center"/>
          </w:tcPr>
          <w:p w14:paraId="58EEC8DC">
            <w:pPr>
              <w:widowControl/>
              <w:jc w:val="center"/>
              <w:rPr>
                <w:rFonts w:hint="default" w:ascii="Times New Roman" w:hAnsi="Times New Roman" w:eastAsia="仿宋_GB2312" w:cs="Times New Roman"/>
                <w:sz w:val="20"/>
                <w:szCs w:val="20"/>
                <w:lang w:val="en-US" w:eastAsia="zh-CN"/>
              </w:rPr>
            </w:pPr>
          </w:p>
        </w:tc>
        <w:tc>
          <w:tcPr>
            <w:tcW w:w="1832" w:type="dxa"/>
            <w:gridSpan w:val="2"/>
            <w:noWrap w:val="0"/>
            <w:vAlign w:val="center"/>
          </w:tcPr>
          <w:p w14:paraId="711E6B2E">
            <w:pPr>
              <w:widowControl/>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10</w:t>
            </w:r>
          </w:p>
        </w:tc>
      </w:tr>
      <w:tr w14:paraId="1405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42389A6C">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地质灾害补助经费</w:t>
            </w:r>
          </w:p>
        </w:tc>
        <w:tc>
          <w:tcPr>
            <w:tcW w:w="2038" w:type="dxa"/>
            <w:gridSpan w:val="2"/>
            <w:shd w:val="clear" w:color="auto" w:fill="auto"/>
            <w:noWrap w:val="0"/>
            <w:vAlign w:val="center"/>
          </w:tcPr>
          <w:p w14:paraId="4FD0170D">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61.8</w:t>
            </w:r>
            <w:r>
              <w:rPr>
                <w:rFonts w:hint="eastAsia" w:ascii="Times New Roman" w:hAnsi="Times New Roman" w:eastAsia="仿宋_GB2312" w:cs="Times New Roman"/>
                <w:kern w:val="2"/>
                <w:sz w:val="20"/>
                <w:szCs w:val="20"/>
                <w:lang w:val="en-US" w:eastAsia="zh-CN" w:bidi="ar-SA"/>
              </w:rPr>
              <w:t>3</w:t>
            </w:r>
          </w:p>
        </w:tc>
        <w:tc>
          <w:tcPr>
            <w:tcW w:w="2240" w:type="dxa"/>
            <w:gridSpan w:val="2"/>
            <w:shd w:val="clear" w:color="auto" w:fill="auto"/>
            <w:noWrap w:val="0"/>
            <w:vAlign w:val="center"/>
          </w:tcPr>
          <w:p w14:paraId="589D6840">
            <w:pPr>
              <w:widowControl/>
              <w:jc w:val="center"/>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0594C7A8">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37.32</w:t>
            </w:r>
          </w:p>
        </w:tc>
      </w:tr>
      <w:tr w14:paraId="1296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558B8ADB">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关于提前下达2024年自然资源专项资金的通知（地质灾害调查评价）</w:t>
            </w:r>
          </w:p>
        </w:tc>
        <w:tc>
          <w:tcPr>
            <w:tcW w:w="2038" w:type="dxa"/>
            <w:gridSpan w:val="2"/>
            <w:shd w:val="clear" w:color="auto" w:fill="auto"/>
            <w:noWrap w:val="0"/>
            <w:vAlign w:val="center"/>
          </w:tcPr>
          <w:p w14:paraId="749654E4">
            <w:pPr>
              <w:widowControl/>
              <w:jc w:val="center"/>
              <w:rPr>
                <w:rFonts w:hint="default" w:ascii="Times New Roman" w:hAnsi="Times New Roman" w:eastAsia="仿宋_GB2312" w:cs="Times New Roman"/>
                <w:kern w:val="2"/>
                <w:sz w:val="20"/>
                <w:szCs w:val="20"/>
                <w:lang w:val="en-US" w:eastAsia="zh-CN" w:bidi="ar-SA"/>
              </w:rPr>
            </w:pPr>
          </w:p>
        </w:tc>
        <w:tc>
          <w:tcPr>
            <w:tcW w:w="2240" w:type="dxa"/>
            <w:gridSpan w:val="2"/>
            <w:shd w:val="clear" w:color="auto" w:fill="auto"/>
            <w:noWrap w:val="0"/>
            <w:vAlign w:val="center"/>
          </w:tcPr>
          <w:p w14:paraId="0C7971DE">
            <w:pPr>
              <w:widowControl/>
              <w:jc w:val="center"/>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2880DF3E">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60</w:t>
            </w:r>
          </w:p>
        </w:tc>
      </w:tr>
      <w:tr w14:paraId="73C4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1136AE70">
            <w:pPr>
              <w:widowControl/>
              <w:ind w:firstLine="400" w:firstLineChars="200"/>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关于提前下达2024年自然资源专项资金的通知（地质灾害气象风险预警）</w:t>
            </w:r>
          </w:p>
        </w:tc>
        <w:tc>
          <w:tcPr>
            <w:tcW w:w="2038" w:type="dxa"/>
            <w:gridSpan w:val="2"/>
            <w:shd w:val="clear" w:color="auto" w:fill="auto"/>
            <w:noWrap w:val="0"/>
            <w:vAlign w:val="center"/>
          </w:tcPr>
          <w:p w14:paraId="6AE39A02">
            <w:pPr>
              <w:widowControl/>
              <w:jc w:val="center"/>
              <w:rPr>
                <w:rFonts w:hint="default" w:ascii="Times New Roman" w:hAnsi="Times New Roman" w:eastAsia="仿宋_GB2312" w:cs="Times New Roman"/>
                <w:kern w:val="2"/>
                <w:sz w:val="20"/>
                <w:szCs w:val="20"/>
                <w:lang w:val="en-US" w:eastAsia="zh-CN" w:bidi="ar-SA"/>
              </w:rPr>
            </w:pPr>
          </w:p>
        </w:tc>
        <w:tc>
          <w:tcPr>
            <w:tcW w:w="2240" w:type="dxa"/>
            <w:gridSpan w:val="2"/>
            <w:shd w:val="clear" w:color="auto" w:fill="auto"/>
            <w:noWrap w:val="0"/>
            <w:vAlign w:val="center"/>
          </w:tcPr>
          <w:p w14:paraId="07847392">
            <w:pPr>
              <w:widowControl/>
              <w:jc w:val="center"/>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47464B73">
            <w:pPr>
              <w:widowControl/>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15</w:t>
            </w:r>
          </w:p>
        </w:tc>
      </w:tr>
      <w:tr w14:paraId="49B9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shd w:val="clear" w:color="auto" w:fill="auto"/>
            <w:noWrap w:val="0"/>
            <w:vAlign w:val="center"/>
          </w:tcPr>
          <w:p w14:paraId="04A7B456">
            <w:pPr>
              <w:keepNext w:val="0"/>
              <w:keepLines w:val="0"/>
              <w:widowControl/>
              <w:suppressLineNumbers w:val="0"/>
              <w:ind w:firstLine="400" w:firstLineChars="200"/>
              <w:jc w:val="left"/>
              <w:textAlignment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bidi="ar-SA"/>
              </w:rPr>
              <w:t>2023年省级自然资源专项资金湘财资环指〔2022〕80号</w:t>
            </w:r>
          </w:p>
        </w:tc>
        <w:tc>
          <w:tcPr>
            <w:tcW w:w="2038" w:type="dxa"/>
            <w:gridSpan w:val="2"/>
            <w:shd w:val="clear" w:color="auto" w:fill="auto"/>
            <w:noWrap w:val="0"/>
            <w:vAlign w:val="center"/>
          </w:tcPr>
          <w:p w14:paraId="441DA066">
            <w:pPr>
              <w:widowControl/>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70</w:t>
            </w:r>
          </w:p>
        </w:tc>
        <w:tc>
          <w:tcPr>
            <w:tcW w:w="2240" w:type="dxa"/>
            <w:gridSpan w:val="2"/>
            <w:shd w:val="clear" w:color="auto" w:fill="auto"/>
            <w:noWrap w:val="0"/>
            <w:vAlign w:val="center"/>
          </w:tcPr>
          <w:p w14:paraId="189AB438">
            <w:pPr>
              <w:widowControl/>
              <w:jc w:val="center"/>
              <w:rPr>
                <w:rFonts w:hint="default" w:ascii="Times New Roman" w:hAnsi="Times New Roman" w:eastAsia="仿宋_GB2312" w:cs="Times New Roman"/>
                <w:kern w:val="2"/>
                <w:sz w:val="20"/>
                <w:szCs w:val="20"/>
                <w:lang w:val="en-US" w:eastAsia="zh-CN" w:bidi="ar-SA"/>
              </w:rPr>
            </w:pPr>
          </w:p>
        </w:tc>
        <w:tc>
          <w:tcPr>
            <w:tcW w:w="1832" w:type="dxa"/>
            <w:gridSpan w:val="2"/>
            <w:shd w:val="clear" w:color="auto" w:fill="auto"/>
            <w:noWrap w:val="0"/>
            <w:vAlign w:val="center"/>
          </w:tcPr>
          <w:p w14:paraId="7F37A862">
            <w:pPr>
              <w:widowControl/>
              <w:jc w:val="center"/>
              <w:rPr>
                <w:rFonts w:hint="default" w:ascii="Times New Roman" w:hAnsi="Times New Roman" w:eastAsia="仿宋_GB2312" w:cs="Times New Roman"/>
                <w:kern w:val="2"/>
                <w:sz w:val="20"/>
                <w:szCs w:val="20"/>
                <w:lang w:val="en-US" w:eastAsia="zh-CN" w:bidi="ar-SA"/>
              </w:rPr>
            </w:pPr>
          </w:p>
        </w:tc>
      </w:tr>
      <w:tr w14:paraId="460D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3E11C5C">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地质灾害防治项目资金</w:t>
            </w:r>
          </w:p>
        </w:tc>
        <w:tc>
          <w:tcPr>
            <w:tcW w:w="2038" w:type="dxa"/>
            <w:gridSpan w:val="2"/>
            <w:noWrap w:val="0"/>
            <w:vAlign w:val="center"/>
          </w:tcPr>
          <w:p w14:paraId="7302608D">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69.99</w:t>
            </w:r>
          </w:p>
        </w:tc>
        <w:tc>
          <w:tcPr>
            <w:tcW w:w="2240" w:type="dxa"/>
            <w:gridSpan w:val="2"/>
            <w:noWrap w:val="0"/>
            <w:vAlign w:val="center"/>
          </w:tcPr>
          <w:p w14:paraId="19B98A3E">
            <w:pPr>
              <w:widowControl/>
              <w:jc w:val="center"/>
              <w:rPr>
                <w:rFonts w:hint="default" w:ascii="Times New Roman" w:hAnsi="Times New Roman" w:eastAsia="仿宋" w:cs="Times New Roman"/>
                <w:b w:val="0"/>
                <w:bCs w:val="0"/>
                <w:kern w:val="0"/>
                <w:sz w:val="20"/>
                <w:szCs w:val="20"/>
              </w:rPr>
            </w:pPr>
          </w:p>
        </w:tc>
        <w:tc>
          <w:tcPr>
            <w:tcW w:w="1832" w:type="dxa"/>
            <w:gridSpan w:val="2"/>
            <w:noWrap w:val="0"/>
            <w:vAlign w:val="center"/>
          </w:tcPr>
          <w:p w14:paraId="71D0C0E9">
            <w:pPr>
              <w:widowControl/>
              <w:jc w:val="center"/>
              <w:rPr>
                <w:rFonts w:hint="default" w:ascii="Times New Roman" w:hAnsi="Times New Roman" w:eastAsia="仿宋" w:cs="Times New Roman"/>
                <w:b w:val="0"/>
                <w:bCs w:val="0"/>
                <w:kern w:val="0"/>
                <w:sz w:val="20"/>
                <w:szCs w:val="20"/>
              </w:rPr>
            </w:pPr>
          </w:p>
        </w:tc>
      </w:tr>
      <w:tr w14:paraId="78EA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A79149F">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1463F051">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2240" w:type="dxa"/>
            <w:gridSpan w:val="2"/>
            <w:noWrap w:val="0"/>
            <w:vAlign w:val="center"/>
          </w:tcPr>
          <w:p w14:paraId="6B772023">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c>
          <w:tcPr>
            <w:tcW w:w="1832" w:type="dxa"/>
            <w:gridSpan w:val="2"/>
            <w:noWrap w:val="0"/>
            <w:vAlign w:val="center"/>
          </w:tcPr>
          <w:p w14:paraId="4CA8B97D">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　</w:t>
            </w:r>
          </w:p>
        </w:tc>
      </w:tr>
      <w:tr w14:paraId="3480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5CFD04D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17DBD7DE">
            <w:pPr>
              <w:widowControl/>
              <w:jc w:val="center"/>
              <w:rPr>
                <w:rFonts w:hint="default" w:ascii="Times New Roman" w:hAnsi="Times New Roman" w:eastAsia="仿宋" w:cs="Times New Roman"/>
                <w:b w:val="0"/>
                <w:bCs w:val="0"/>
                <w:kern w:val="0"/>
                <w:sz w:val="20"/>
                <w:szCs w:val="20"/>
              </w:rPr>
            </w:pPr>
          </w:p>
        </w:tc>
        <w:tc>
          <w:tcPr>
            <w:tcW w:w="2240" w:type="dxa"/>
            <w:gridSpan w:val="2"/>
            <w:noWrap w:val="0"/>
            <w:vAlign w:val="center"/>
          </w:tcPr>
          <w:p w14:paraId="73E579C5">
            <w:pPr>
              <w:widowControl/>
              <w:jc w:val="center"/>
              <w:rPr>
                <w:rFonts w:hint="default" w:ascii="Times New Roman" w:hAnsi="Times New Roman" w:eastAsia="仿宋" w:cs="Times New Roman"/>
                <w:b w:val="0"/>
                <w:bCs w:val="0"/>
                <w:kern w:val="0"/>
                <w:sz w:val="20"/>
                <w:szCs w:val="20"/>
              </w:rPr>
            </w:pPr>
          </w:p>
        </w:tc>
        <w:tc>
          <w:tcPr>
            <w:tcW w:w="1832" w:type="dxa"/>
            <w:gridSpan w:val="2"/>
            <w:noWrap w:val="0"/>
            <w:vAlign w:val="center"/>
          </w:tcPr>
          <w:p w14:paraId="5379450E">
            <w:pPr>
              <w:widowControl/>
              <w:jc w:val="center"/>
              <w:rPr>
                <w:rFonts w:hint="default" w:ascii="Times New Roman" w:hAnsi="Times New Roman" w:eastAsia="仿宋" w:cs="Times New Roman"/>
                <w:b w:val="0"/>
                <w:bCs w:val="0"/>
                <w:kern w:val="0"/>
                <w:sz w:val="20"/>
                <w:szCs w:val="20"/>
              </w:rPr>
            </w:pPr>
          </w:p>
        </w:tc>
      </w:tr>
      <w:tr w14:paraId="6E0C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011A64">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6FE56C30">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_GB2312" w:cs="Times New Roman"/>
                <w:color w:val="auto"/>
                <w:sz w:val="20"/>
                <w:szCs w:val="20"/>
                <w:lang w:val="en-US" w:eastAsia="zh-CN"/>
              </w:rPr>
              <w:t>7.42</w:t>
            </w:r>
            <w:r>
              <w:rPr>
                <w:rFonts w:hint="default" w:ascii="Times New Roman" w:hAnsi="Times New Roman" w:eastAsia="仿宋" w:cs="Times New Roman"/>
                <w:b w:val="0"/>
                <w:bCs w:val="0"/>
                <w:color w:val="auto"/>
                <w:kern w:val="0"/>
                <w:sz w:val="20"/>
                <w:szCs w:val="20"/>
              </w:rPr>
              <w:t>　</w:t>
            </w:r>
          </w:p>
        </w:tc>
        <w:tc>
          <w:tcPr>
            <w:tcW w:w="2240" w:type="dxa"/>
            <w:gridSpan w:val="2"/>
            <w:noWrap w:val="0"/>
            <w:vAlign w:val="center"/>
          </w:tcPr>
          <w:p w14:paraId="4D53D861">
            <w:pPr>
              <w:widowControl/>
              <w:jc w:val="center"/>
              <w:rPr>
                <w:rFonts w:hint="default" w:ascii="Times New Roman" w:hAnsi="Times New Roman" w:eastAsia="仿宋" w:cs="Times New Roman"/>
                <w:b w:val="0"/>
                <w:bCs w:val="0"/>
                <w:color w:val="auto"/>
                <w:kern w:val="0"/>
                <w:sz w:val="20"/>
                <w:szCs w:val="20"/>
              </w:rPr>
            </w:pPr>
            <w:r>
              <w:rPr>
                <w:rFonts w:hint="eastAsia" w:ascii="Times New Roman" w:hAnsi="Times New Roman" w:eastAsia="仿宋" w:cs="Times New Roman"/>
                <w:b w:val="0"/>
                <w:bCs w:val="0"/>
                <w:color w:val="auto"/>
                <w:kern w:val="0"/>
                <w:sz w:val="20"/>
                <w:szCs w:val="20"/>
                <w:lang w:val="en-US" w:eastAsia="zh-CN"/>
              </w:rPr>
              <w:t>36</w:t>
            </w:r>
            <w:r>
              <w:rPr>
                <w:rFonts w:hint="default" w:ascii="Times New Roman" w:hAnsi="Times New Roman" w:eastAsia="仿宋" w:cs="Times New Roman"/>
                <w:b w:val="0"/>
                <w:bCs w:val="0"/>
                <w:color w:val="auto"/>
                <w:kern w:val="0"/>
                <w:sz w:val="20"/>
                <w:szCs w:val="20"/>
              </w:rPr>
              <w:t>　</w:t>
            </w:r>
          </w:p>
        </w:tc>
        <w:tc>
          <w:tcPr>
            <w:tcW w:w="1832" w:type="dxa"/>
            <w:gridSpan w:val="2"/>
            <w:noWrap w:val="0"/>
            <w:vAlign w:val="center"/>
          </w:tcPr>
          <w:p w14:paraId="0DBE2650">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 w:cs="Times New Roman"/>
                <w:b w:val="0"/>
                <w:bCs w:val="0"/>
                <w:color w:val="auto"/>
                <w:kern w:val="0"/>
                <w:sz w:val="20"/>
                <w:szCs w:val="20"/>
              </w:rPr>
              <w:t>0.25　</w:t>
            </w:r>
          </w:p>
        </w:tc>
      </w:tr>
      <w:tr w14:paraId="605A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B51628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52905801">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_GB2312" w:cs="Times New Roman"/>
                <w:color w:val="auto"/>
                <w:sz w:val="20"/>
                <w:szCs w:val="20"/>
                <w:lang w:val="en-US" w:eastAsia="zh-CN"/>
              </w:rPr>
              <w:t>0.15</w:t>
            </w:r>
            <w:r>
              <w:rPr>
                <w:rFonts w:hint="default" w:ascii="Times New Roman" w:hAnsi="Times New Roman" w:eastAsia="仿宋" w:cs="Times New Roman"/>
                <w:b w:val="0"/>
                <w:bCs w:val="0"/>
                <w:color w:val="auto"/>
                <w:kern w:val="0"/>
                <w:sz w:val="20"/>
                <w:szCs w:val="20"/>
              </w:rPr>
              <w:t>　</w:t>
            </w:r>
          </w:p>
        </w:tc>
        <w:tc>
          <w:tcPr>
            <w:tcW w:w="2240" w:type="dxa"/>
            <w:gridSpan w:val="2"/>
            <w:noWrap w:val="0"/>
            <w:vAlign w:val="center"/>
          </w:tcPr>
          <w:p w14:paraId="6A3B5C67">
            <w:pPr>
              <w:widowControl/>
              <w:jc w:val="center"/>
              <w:rPr>
                <w:rFonts w:hint="eastAsia" w:ascii="Times New Roman" w:hAnsi="Times New Roman" w:eastAsia="仿宋" w:cs="Times New Roman"/>
                <w:b w:val="0"/>
                <w:bCs w:val="0"/>
                <w:color w:val="auto"/>
                <w:kern w:val="0"/>
                <w:sz w:val="20"/>
                <w:szCs w:val="20"/>
                <w:lang w:val="en-US" w:eastAsia="zh-CN"/>
              </w:rPr>
            </w:pPr>
            <w:r>
              <w:rPr>
                <w:rFonts w:hint="eastAsia" w:ascii="Times New Roman" w:hAnsi="Times New Roman" w:eastAsia="仿宋" w:cs="Times New Roman"/>
                <w:b w:val="0"/>
                <w:bCs w:val="0"/>
                <w:color w:val="auto"/>
                <w:kern w:val="0"/>
                <w:sz w:val="20"/>
                <w:szCs w:val="20"/>
                <w:lang w:val="en-US" w:eastAsia="zh-CN"/>
              </w:rPr>
              <w:t>0</w:t>
            </w:r>
          </w:p>
        </w:tc>
        <w:tc>
          <w:tcPr>
            <w:tcW w:w="1832" w:type="dxa"/>
            <w:gridSpan w:val="2"/>
            <w:noWrap w:val="0"/>
            <w:vAlign w:val="center"/>
          </w:tcPr>
          <w:p w14:paraId="70D0A982">
            <w:pPr>
              <w:widowControl/>
              <w:jc w:val="center"/>
              <w:rPr>
                <w:rFonts w:hint="default" w:ascii="Times New Roman" w:hAnsi="Times New Roman" w:eastAsia="仿宋" w:cs="Times New Roman"/>
                <w:b w:val="0"/>
                <w:bCs w:val="0"/>
                <w:color w:val="auto"/>
                <w:kern w:val="0"/>
                <w:sz w:val="20"/>
                <w:szCs w:val="20"/>
              </w:rPr>
            </w:pPr>
            <w:r>
              <w:rPr>
                <w:rFonts w:hint="eastAsia" w:ascii="Times New Roman" w:hAnsi="Times New Roman" w:eastAsia="仿宋" w:cs="Times New Roman"/>
                <w:b w:val="0"/>
                <w:bCs w:val="0"/>
                <w:color w:val="auto"/>
                <w:kern w:val="0"/>
                <w:sz w:val="20"/>
                <w:szCs w:val="20"/>
                <w:lang w:val="en-US" w:eastAsia="zh-CN"/>
              </w:rPr>
              <w:t>0</w:t>
            </w:r>
            <w:r>
              <w:rPr>
                <w:rFonts w:hint="default" w:ascii="Times New Roman" w:hAnsi="Times New Roman" w:eastAsia="仿宋" w:cs="Times New Roman"/>
                <w:b w:val="0"/>
                <w:bCs w:val="0"/>
                <w:color w:val="auto"/>
                <w:kern w:val="0"/>
                <w:sz w:val="20"/>
                <w:szCs w:val="20"/>
              </w:rPr>
              <w:t>　</w:t>
            </w:r>
          </w:p>
        </w:tc>
      </w:tr>
      <w:tr w14:paraId="3135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13A6A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41E1928C">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 w:cs="Times New Roman"/>
                <w:b w:val="0"/>
                <w:bCs w:val="0"/>
                <w:color w:val="auto"/>
                <w:kern w:val="0"/>
                <w:sz w:val="20"/>
                <w:szCs w:val="20"/>
                <w:lang w:val="en-US" w:eastAsia="zh-CN"/>
              </w:rPr>
              <w:t>0.67</w:t>
            </w:r>
            <w:r>
              <w:rPr>
                <w:rFonts w:hint="default" w:ascii="Times New Roman" w:hAnsi="Times New Roman" w:eastAsia="仿宋" w:cs="Times New Roman"/>
                <w:b w:val="0"/>
                <w:bCs w:val="0"/>
                <w:color w:val="auto"/>
                <w:kern w:val="0"/>
                <w:sz w:val="20"/>
                <w:szCs w:val="20"/>
              </w:rPr>
              <w:t>　</w:t>
            </w:r>
          </w:p>
        </w:tc>
        <w:tc>
          <w:tcPr>
            <w:tcW w:w="2240" w:type="dxa"/>
            <w:gridSpan w:val="2"/>
            <w:noWrap w:val="0"/>
            <w:vAlign w:val="center"/>
          </w:tcPr>
          <w:p w14:paraId="1681EE95">
            <w:pPr>
              <w:widowControl/>
              <w:jc w:val="center"/>
              <w:rPr>
                <w:rFonts w:hint="default" w:ascii="Times New Roman" w:hAnsi="Times New Roman" w:eastAsia="仿宋" w:cs="Times New Roman"/>
                <w:b w:val="0"/>
                <w:bCs w:val="0"/>
                <w:color w:val="auto"/>
                <w:kern w:val="0"/>
                <w:sz w:val="20"/>
                <w:szCs w:val="20"/>
              </w:rPr>
            </w:pPr>
            <w:r>
              <w:rPr>
                <w:rFonts w:hint="eastAsia" w:ascii="Times New Roman" w:hAnsi="Times New Roman" w:eastAsia="仿宋" w:cs="Times New Roman"/>
                <w:b w:val="0"/>
                <w:bCs w:val="0"/>
                <w:color w:val="auto"/>
                <w:kern w:val="0"/>
                <w:sz w:val="20"/>
                <w:szCs w:val="20"/>
                <w:lang w:val="en-US" w:eastAsia="zh-CN"/>
              </w:rPr>
              <w:t>0</w:t>
            </w:r>
            <w:r>
              <w:rPr>
                <w:rFonts w:hint="default" w:ascii="Times New Roman" w:hAnsi="Times New Roman" w:eastAsia="仿宋" w:cs="Times New Roman"/>
                <w:b w:val="0"/>
                <w:bCs w:val="0"/>
                <w:color w:val="auto"/>
                <w:kern w:val="0"/>
                <w:sz w:val="20"/>
                <w:szCs w:val="20"/>
              </w:rPr>
              <w:t>　</w:t>
            </w:r>
          </w:p>
        </w:tc>
        <w:tc>
          <w:tcPr>
            <w:tcW w:w="1832" w:type="dxa"/>
            <w:gridSpan w:val="2"/>
            <w:noWrap w:val="0"/>
            <w:vAlign w:val="center"/>
          </w:tcPr>
          <w:p w14:paraId="6D1FFD8C">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 w:cs="Times New Roman"/>
                <w:b w:val="0"/>
                <w:bCs w:val="0"/>
                <w:color w:val="auto"/>
                <w:kern w:val="0"/>
                <w:sz w:val="20"/>
                <w:szCs w:val="20"/>
              </w:rPr>
              <w:t>0.25</w:t>
            </w:r>
          </w:p>
        </w:tc>
      </w:tr>
      <w:tr w14:paraId="5E23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33A24837">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4E0300FB">
            <w:pPr>
              <w:widowControl/>
              <w:jc w:val="center"/>
              <w:rPr>
                <w:rFonts w:hint="default" w:ascii="Times New Roman" w:hAnsi="Times New Roman" w:eastAsia="仿宋" w:cs="Times New Roman"/>
                <w:b w:val="0"/>
                <w:bCs w:val="0"/>
                <w:color w:val="auto"/>
                <w:kern w:val="0"/>
                <w:sz w:val="20"/>
                <w:szCs w:val="20"/>
              </w:rPr>
            </w:pPr>
            <w:r>
              <w:rPr>
                <w:rFonts w:hint="default" w:ascii="Times New Roman" w:hAnsi="Times New Roman" w:eastAsia="仿宋" w:cs="Times New Roman"/>
                <w:b w:val="0"/>
                <w:bCs w:val="0"/>
                <w:color w:val="auto"/>
                <w:kern w:val="0"/>
                <w:sz w:val="20"/>
                <w:szCs w:val="20"/>
                <w:lang w:val="en-US" w:eastAsia="zh-CN"/>
              </w:rPr>
              <w:t>0.07</w:t>
            </w:r>
            <w:r>
              <w:rPr>
                <w:rFonts w:hint="default" w:ascii="Times New Roman" w:hAnsi="Times New Roman" w:eastAsia="仿宋" w:cs="Times New Roman"/>
                <w:b w:val="0"/>
                <w:bCs w:val="0"/>
                <w:color w:val="auto"/>
                <w:kern w:val="0"/>
                <w:sz w:val="20"/>
                <w:szCs w:val="20"/>
              </w:rPr>
              <w:t>　</w:t>
            </w:r>
          </w:p>
        </w:tc>
        <w:tc>
          <w:tcPr>
            <w:tcW w:w="2240" w:type="dxa"/>
            <w:gridSpan w:val="2"/>
            <w:noWrap w:val="0"/>
            <w:vAlign w:val="center"/>
          </w:tcPr>
          <w:p w14:paraId="3CA51C1B">
            <w:pPr>
              <w:widowControl/>
              <w:jc w:val="center"/>
              <w:rPr>
                <w:rFonts w:hint="eastAsia" w:ascii="Times New Roman" w:hAnsi="Times New Roman" w:eastAsia="仿宋" w:cs="Times New Roman"/>
                <w:b w:val="0"/>
                <w:bCs w:val="0"/>
                <w:color w:val="auto"/>
                <w:kern w:val="0"/>
                <w:sz w:val="20"/>
                <w:szCs w:val="20"/>
                <w:lang w:val="en-US" w:eastAsia="zh-CN"/>
              </w:rPr>
            </w:pPr>
            <w:r>
              <w:rPr>
                <w:rFonts w:hint="eastAsia" w:ascii="Times New Roman" w:hAnsi="Times New Roman" w:eastAsia="仿宋" w:cs="Times New Roman"/>
                <w:b w:val="0"/>
                <w:bCs w:val="0"/>
                <w:color w:val="auto"/>
                <w:kern w:val="0"/>
                <w:sz w:val="20"/>
                <w:szCs w:val="20"/>
                <w:lang w:val="en-US" w:eastAsia="zh-CN"/>
              </w:rPr>
              <w:t>0</w:t>
            </w:r>
          </w:p>
        </w:tc>
        <w:tc>
          <w:tcPr>
            <w:tcW w:w="1832" w:type="dxa"/>
            <w:gridSpan w:val="2"/>
            <w:noWrap w:val="0"/>
            <w:vAlign w:val="center"/>
          </w:tcPr>
          <w:p w14:paraId="4FA7D69D">
            <w:pPr>
              <w:widowControl/>
              <w:jc w:val="center"/>
              <w:rPr>
                <w:rFonts w:hint="default" w:ascii="Times New Roman" w:hAnsi="Times New Roman" w:eastAsia="仿宋" w:cs="Times New Roman"/>
                <w:b w:val="0"/>
                <w:bCs w:val="0"/>
                <w:color w:val="auto"/>
                <w:kern w:val="0"/>
                <w:sz w:val="20"/>
                <w:szCs w:val="20"/>
                <w:lang w:val="en-US" w:eastAsia="zh-CN"/>
              </w:rPr>
            </w:pPr>
            <w:r>
              <w:rPr>
                <w:rFonts w:hint="eastAsia" w:ascii="Times New Roman" w:hAnsi="Times New Roman" w:eastAsia="仿宋" w:cs="Times New Roman"/>
                <w:b w:val="0"/>
                <w:bCs w:val="0"/>
                <w:color w:val="auto"/>
                <w:kern w:val="0"/>
                <w:sz w:val="20"/>
                <w:szCs w:val="20"/>
                <w:lang w:val="en-US" w:eastAsia="zh-CN"/>
              </w:rPr>
              <w:t>0</w:t>
            </w:r>
          </w:p>
        </w:tc>
      </w:tr>
      <w:tr w14:paraId="3D3E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C3C7D7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4D72B6D4">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w:t>
            </w:r>
          </w:p>
        </w:tc>
        <w:tc>
          <w:tcPr>
            <w:tcW w:w="2240" w:type="dxa"/>
            <w:gridSpan w:val="2"/>
            <w:noWrap w:val="0"/>
            <w:vAlign w:val="center"/>
          </w:tcPr>
          <w:p w14:paraId="50449A03">
            <w:pPr>
              <w:widowControl/>
              <w:jc w:val="center"/>
              <w:rPr>
                <w:rFonts w:hint="default" w:ascii="Times New Roman" w:hAnsi="Times New Roman" w:eastAsia="仿宋" w:cs="Times New Roman"/>
                <w:b w:val="0"/>
                <w:bCs w:val="0"/>
                <w:kern w:val="0"/>
                <w:sz w:val="20"/>
                <w:szCs w:val="20"/>
                <w:lang w:val="en-US" w:eastAsia="zh-CN"/>
              </w:rPr>
            </w:pPr>
            <w:r>
              <w:rPr>
                <w:rFonts w:hint="eastAsia" w:ascii="Times New Roman" w:hAnsi="Times New Roman" w:eastAsia="仿宋" w:cs="Times New Roman"/>
                <w:b w:val="0"/>
                <w:bCs w:val="0"/>
                <w:kern w:val="0"/>
                <w:sz w:val="20"/>
                <w:szCs w:val="20"/>
                <w:lang w:val="en-US" w:eastAsia="zh-CN"/>
              </w:rPr>
              <w:t>0</w:t>
            </w:r>
          </w:p>
        </w:tc>
        <w:tc>
          <w:tcPr>
            <w:tcW w:w="1832" w:type="dxa"/>
            <w:gridSpan w:val="2"/>
            <w:noWrap w:val="0"/>
            <w:vAlign w:val="center"/>
          </w:tcPr>
          <w:p w14:paraId="336605C8">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20.31</w:t>
            </w:r>
          </w:p>
        </w:tc>
      </w:tr>
      <w:tr w14:paraId="6616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22059B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41B8DCA9">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w:t>
            </w:r>
          </w:p>
        </w:tc>
        <w:tc>
          <w:tcPr>
            <w:tcW w:w="2240" w:type="dxa"/>
            <w:gridSpan w:val="2"/>
            <w:noWrap w:val="0"/>
            <w:vAlign w:val="center"/>
          </w:tcPr>
          <w:p w14:paraId="0D8C737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246.84　</w:t>
            </w:r>
          </w:p>
        </w:tc>
        <w:tc>
          <w:tcPr>
            <w:tcW w:w="1832" w:type="dxa"/>
            <w:gridSpan w:val="2"/>
            <w:noWrap w:val="0"/>
            <w:vAlign w:val="center"/>
          </w:tcPr>
          <w:p w14:paraId="2446EEC2">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rPr>
              <w:t>93.34</w:t>
            </w:r>
          </w:p>
        </w:tc>
      </w:tr>
      <w:tr w14:paraId="0749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49D2845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C1B2B9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04DEB310">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3E9C04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4275F287">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2014A9A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76035B7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417B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2E35536D">
            <w:pPr>
              <w:widowControl/>
              <w:jc w:val="left"/>
              <w:rPr>
                <w:rFonts w:hint="eastAsia" w:ascii="仿宋" w:hAnsi="仿宋" w:eastAsia="仿宋" w:cs="仿宋"/>
                <w:b w:val="0"/>
                <w:bCs w:val="0"/>
                <w:kern w:val="0"/>
                <w:sz w:val="20"/>
                <w:szCs w:val="20"/>
              </w:rPr>
            </w:pPr>
          </w:p>
        </w:tc>
        <w:tc>
          <w:tcPr>
            <w:tcW w:w="1189" w:type="dxa"/>
            <w:noWrap w:val="0"/>
            <w:vAlign w:val="center"/>
          </w:tcPr>
          <w:p w14:paraId="59A9C55B">
            <w:pPr>
              <w:widowControl/>
              <w:jc w:val="center"/>
              <w:rPr>
                <w:rFonts w:hint="default" w:ascii="Times New Roman" w:hAnsi="Times New Roman" w:eastAsia="仿宋" w:cs="Times New Roman"/>
                <w:b w:val="0"/>
                <w:bCs w:val="0"/>
                <w:kern w:val="0"/>
                <w:sz w:val="20"/>
                <w:szCs w:val="20"/>
              </w:rPr>
            </w:pPr>
            <w:r>
              <w:rPr>
                <w:rFonts w:hint="default" w:ascii="Times New Roman" w:hAnsi="Times New Roman" w:eastAsia="仿宋" w:cs="Times New Roman"/>
                <w:b w:val="0"/>
                <w:bCs w:val="0"/>
                <w:kern w:val="0"/>
                <w:sz w:val="20"/>
                <w:szCs w:val="20"/>
                <w:lang w:val="en-US" w:eastAsia="zh-CN"/>
              </w:rPr>
              <w:t>0</w:t>
            </w:r>
          </w:p>
        </w:tc>
        <w:tc>
          <w:tcPr>
            <w:tcW w:w="849" w:type="dxa"/>
            <w:noWrap w:val="0"/>
            <w:vAlign w:val="center"/>
          </w:tcPr>
          <w:p w14:paraId="405B3903">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1129" w:type="dxa"/>
            <w:noWrap w:val="0"/>
            <w:vAlign w:val="center"/>
          </w:tcPr>
          <w:p w14:paraId="23A159BE">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1111" w:type="dxa"/>
            <w:noWrap w:val="0"/>
            <w:vAlign w:val="center"/>
          </w:tcPr>
          <w:p w14:paraId="55CD9AE9">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969" w:type="dxa"/>
            <w:noWrap w:val="0"/>
            <w:vAlign w:val="center"/>
          </w:tcPr>
          <w:p w14:paraId="2051E746">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c>
          <w:tcPr>
            <w:tcW w:w="863" w:type="dxa"/>
            <w:noWrap w:val="0"/>
            <w:vAlign w:val="center"/>
          </w:tcPr>
          <w:p w14:paraId="1954C60F">
            <w:pPr>
              <w:widowControl/>
              <w:jc w:val="center"/>
              <w:rPr>
                <w:rFonts w:hint="default" w:ascii="Times New Roman" w:hAnsi="Times New Roman" w:eastAsia="仿宋" w:cs="Times New Roman"/>
                <w:b w:val="0"/>
                <w:bCs w:val="0"/>
                <w:kern w:val="0"/>
                <w:sz w:val="20"/>
                <w:szCs w:val="20"/>
                <w:lang w:val="en-US" w:eastAsia="zh-CN"/>
              </w:rPr>
            </w:pPr>
            <w:r>
              <w:rPr>
                <w:rFonts w:hint="default" w:ascii="Times New Roman" w:hAnsi="Times New Roman" w:eastAsia="仿宋" w:cs="Times New Roman"/>
                <w:b w:val="0"/>
                <w:bCs w:val="0"/>
                <w:kern w:val="0"/>
                <w:sz w:val="20"/>
                <w:szCs w:val="20"/>
                <w:lang w:val="en-US" w:eastAsia="zh-CN"/>
              </w:rPr>
              <w:t>0</w:t>
            </w:r>
          </w:p>
        </w:tc>
      </w:tr>
      <w:tr w14:paraId="1FE5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5F48B5F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3BAF2C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1.公用经费按照厉行节约的要求，根据部门实际需求，分项定额标准等从紧编制；2.坚决贯彻执行“中办”、“国办”</w:t>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rPr>
              <w:t>《关于厉行节约若干问题的通知》及《中央八项规定》。　</w:t>
            </w:r>
          </w:p>
        </w:tc>
      </w:tr>
    </w:tbl>
    <w:p w14:paraId="7E0EA46B">
      <w:pPr>
        <w:pStyle w:val="13"/>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3FDEF984">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李洪妮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2025.6.4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：15307455303</w:t>
      </w:r>
    </w:p>
    <w:p w14:paraId="179797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F8C0D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B52CE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19D70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9FE7F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84DA4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132767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46EF1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A39634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71A883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D9A928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2F35D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F62DC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481143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ABDC1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52AB66D2">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9"/>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106"/>
        <w:gridCol w:w="1063"/>
        <w:gridCol w:w="981"/>
        <w:gridCol w:w="90"/>
        <w:gridCol w:w="1161"/>
        <w:gridCol w:w="1105"/>
        <w:gridCol w:w="691"/>
        <w:gridCol w:w="816"/>
        <w:gridCol w:w="1131"/>
      </w:tblGrid>
      <w:tr w14:paraId="2302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8" w:type="dxa"/>
            <w:noWrap w:val="0"/>
            <w:vAlign w:val="center"/>
          </w:tcPr>
          <w:p w14:paraId="47D434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44" w:type="dxa"/>
            <w:gridSpan w:val="9"/>
            <w:noWrap w:val="0"/>
            <w:vAlign w:val="center"/>
          </w:tcPr>
          <w:p w14:paraId="2BAD3A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怀化市地质灾害防治中心</w:t>
            </w:r>
            <w:r>
              <w:rPr>
                <w:rFonts w:hint="eastAsia" w:ascii="仿宋" w:hAnsi="仿宋" w:eastAsia="仿宋" w:cs="仿宋"/>
                <w:color w:val="000000"/>
                <w:kern w:val="0"/>
                <w:sz w:val="20"/>
                <w:szCs w:val="20"/>
              </w:rPr>
              <w:t>　</w:t>
            </w:r>
          </w:p>
        </w:tc>
      </w:tr>
      <w:tr w14:paraId="39E1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8" w:type="dxa"/>
            <w:vMerge w:val="restart"/>
            <w:noWrap w:val="0"/>
            <w:vAlign w:val="center"/>
          </w:tcPr>
          <w:p w14:paraId="0D2149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325948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9" w:type="dxa"/>
            <w:gridSpan w:val="2"/>
            <w:noWrap w:val="0"/>
            <w:vAlign w:val="center"/>
          </w:tcPr>
          <w:p w14:paraId="3BD14A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81" w:type="dxa"/>
            <w:noWrap w:val="0"/>
            <w:vAlign w:val="center"/>
          </w:tcPr>
          <w:p w14:paraId="35278C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D0037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51" w:type="dxa"/>
            <w:gridSpan w:val="2"/>
            <w:noWrap w:val="0"/>
            <w:vAlign w:val="center"/>
          </w:tcPr>
          <w:p w14:paraId="479E14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05" w:type="dxa"/>
            <w:noWrap w:val="0"/>
            <w:vAlign w:val="center"/>
          </w:tcPr>
          <w:p w14:paraId="1B0D2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FD220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91" w:type="dxa"/>
            <w:noWrap w:val="0"/>
            <w:vAlign w:val="center"/>
          </w:tcPr>
          <w:p w14:paraId="055896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16" w:type="dxa"/>
            <w:noWrap w:val="0"/>
            <w:vAlign w:val="center"/>
          </w:tcPr>
          <w:p w14:paraId="581D01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31" w:type="dxa"/>
            <w:noWrap w:val="0"/>
            <w:vAlign w:val="center"/>
          </w:tcPr>
          <w:p w14:paraId="6029C3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1E71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7B3BCC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169" w:type="dxa"/>
            <w:gridSpan w:val="2"/>
            <w:noWrap w:val="0"/>
            <w:vAlign w:val="center"/>
          </w:tcPr>
          <w:p w14:paraId="786D2E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81" w:type="dxa"/>
            <w:noWrap w:val="0"/>
            <w:vAlign w:val="center"/>
          </w:tcPr>
          <w:p w14:paraId="79AFC0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246.84</w:t>
            </w:r>
          </w:p>
        </w:tc>
        <w:tc>
          <w:tcPr>
            <w:tcW w:w="1251" w:type="dxa"/>
            <w:gridSpan w:val="2"/>
            <w:noWrap w:val="0"/>
            <w:vAlign w:val="center"/>
          </w:tcPr>
          <w:p w14:paraId="7BA7EC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271.51</w:t>
            </w:r>
          </w:p>
        </w:tc>
        <w:tc>
          <w:tcPr>
            <w:tcW w:w="1105" w:type="dxa"/>
            <w:noWrap w:val="0"/>
            <w:vAlign w:val="center"/>
          </w:tcPr>
          <w:p w14:paraId="4421BB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271.51</w:t>
            </w:r>
          </w:p>
        </w:tc>
        <w:tc>
          <w:tcPr>
            <w:tcW w:w="691" w:type="dxa"/>
            <w:noWrap w:val="0"/>
            <w:vAlign w:val="center"/>
          </w:tcPr>
          <w:p w14:paraId="308E86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816" w:type="dxa"/>
            <w:noWrap w:val="0"/>
            <w:vAlign w:val="center"/>
          </w:tcPr>
          <w:p w14:paraId="30CFEA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1131" w:type="dxa"/>
            <w:noWrap w:val="0"/>
            <w:vAlign w:val="center"/>
          </w:tcPr>
          <w:p w14:paraId="31D708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r>
      <w:tr w14:paraId="1F95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166538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682E51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43" w:type="dxa"/>
            <w:gridSpan w:val="4"/>
            <w:noWrap w:val="0"/>
            <w:vAlign w:val="center"/>
          </w:tcPr>
          <w:p w14:paraId="6F0125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28B7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66D999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1BD246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一般公共预算：225.27</w:t>
            </w:r>
          </w:p>
        </w:tc>
        <w:tc>
          <w:tcPr>
            <w:tcW w:w="3743" w:type="dxa"/>
            <w:gridSpan w:val="4"/>
            <w:noWrap w:val="0"/>
            <w:vAlign w:val="center"/>
          </w:tcPr>
          <w:p w14:paraId="50FDA2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其中：基本支出：93.34</w:t>
            </w:r>
          </w:p>
        </w:tc>
      </w:tr>
      <w:tr w14:paraId="5CE6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60FCC7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7A382879">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政府性基金拨款：45.85</w:t>
            </w:r>
          </w:p>
        </w:tc>
        <w:tc>
          <w:tcPr>
            <w:tcW w:w="3743" w:type="dxa"/>
            <w:gridSpan w:val="4"/>
            <w:noWrap w:val="0"/>
            <w:vAlign w:val="center"/>
          </w:tcPr>
          <w:p w14:paraId="6438E14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项目支出：178.17</w:t>
            </w:r>
          </w:p>
        </w:tc>
      </w:tr>
      <w:tr w14:paraId="4ED8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8" w:type="dxa"/>
            <w:vMerge w:val="continue"/>
            <w:noWrap w:val="0"/>
            <w:vAlign w:val="center"/>
          </w:tcPr>
          <w:p w14:paraId="1B2EEC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4B59270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743" w:type="dxa"/>
            <w:gridSpan w:val="4"/>
            <w:noWrap w:val="0"/>
            <w:vAlign w:val="center"/>
          </w:tcPr>
          <w:p w14:paraId="61D3B5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C32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vMerge w:val="continue"/>
            <w:noWrap w:val="0"/>
            <w:vAlign w:val="center"/>
          </w:tcPr>
          <w:p w14:paraId="4B2BCC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48AC17FC">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其他资金：0.39</w:t>
            </w:r>
          </w:p>
        </w:tc>
        <w:tc>
          <w:tcPr>
            <w:tcW w:w="3743" w:type="dxa"/>
            <w:gridSpan w:val="4"/>
            <w:noWrap w:val="0"/>
            <w:vAlign w:val="center"/>
          </w:tcPr>
          <w:p w14:paraId="5DDDA3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EC2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8" w:type="dxa"/>
            <w:vMerge w:val="restart"/>
            <w:noWrap w:val="0"/>
            <w:vAlign w:val="center"/>
          </w:tcPr>
          <w:p w14:paraId="5A97EE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401" w:type="dxa"/>
            <w:gridSpan w:val="5"/>
            <w:noWrap w:val="0"/>
            <w:vAlign w:val="center"/>
          </w:tcPr>
          <w:p w14:paraId="741B51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43" w:type="dxa"/>
            <w:gridSpan w:val="4"/>
            <w:noWrap w:val="0"/>
            <w:vAlign w:val="center"/>
          </w:tcPr>
          <w:p w14:paraId="5767F5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FE1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8" w:type="dxa"/>
            <w:vMerge w:val="continue"/>
            <w:noWrap w:val="0"/>
            <w:vAlign w:val="center"/>
          </w:tcPr>
          <w:p w14:paraId="6EB5ED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01" w:type="dxa"/>
            <w:gridSpan w:val="5"/>
            <w:noWrap w:val="0"/>
            <w:vAlign w:val="center"/>
          </w:tcPr>
          <w:p w14:paraId="47EC6E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目标1：做好地质灾害防治工作，</w:t>
            </w:r>
            <w:r>
              <w:rPr>
                <w:rFonts w:hint="eastAsia" w:ascii="仿宋" w:hAnsi="仿宋" w:eastAsia="仿宋" w:cs="仿宋"/>
                <w:color w:val="000000"/>
                <w:kern w:val="0"/>
                <w:sz w:val="20"/>
                <w:szCs w:val="20"/>
              </w:rPr>
              <w:t>最大限度的减少因自然地质灾害导致的人民群众生命财产安全。</w:t>
            </w:r>
          </w:p>
          <w:p w14:paraId="11C936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目标2：承担着全市矿产资源开发和矿产资源储量管理等相关事务性工作。</w:t>
            </w:r>
            <w:r>
              <w:rPr>
                <w:rFonts w:hint="eastAsia" w:ascii="仿宋" w:hAnsi="仿宋" w:eastAsia="仿宋" w:cs="仿宋"/>
                <w:color w:val="000000"/>
                <w:kern w:val="0"/>
                <w:sz w:val="20"/>
                <w:szCs w:val="20"/>
              </w:rPr>
              <w:t>　　</w:t>
            </w:r>
          </w:p>
        </w:tc>
        <w:tc>
          <w:tcPr>
            <w:tcW w:w="3743" w:type="dxa"/>
            <w:gridSpan w:val="4"/>
            <w:noWrap w:val="0"/>
            <w:vAlign w:val="center"/>
          </w:tcPr>
          <w:p w14:paraId="3B0FAF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w:t>
            </w:r>
            <w:r>
              <w:rPr>
                <w:rFonts w:hint="eastAsia" w:ascii="仿宋" w:hAnsi="仿宋" w:eastAsia="仿宋" w:cs="仿宋"/>
                <w:color w:val="000000"/>
                <w:kern w:val="0"/>
                <w:sz w:val="20"/>
                <w:szCs w:val="20"/>
                <w:lang w:eastAsia="zh-CN"/>
              </w:rPr>
              <w:t>落实落细隐患排查。首先以市地质灾害防治工作防治工作领导小组的名义下发关于开展年度汛前、汛中排查工作的通知，要求对所有在册隐患点、中风险及以上斜坡（沟谷）单元、切坡建房户、临坡临沟临崖临水住户、交通沿线、旅游景区、学校、医院、人口密集区、在建工程等进行全覆盖排查，完善“一案两卡”，做到防灾责任事项清晰明了，措施精准到点、到人，防范知识和风险信息告知到户到人。通过汛前、汛中、汛后巡排查，做到了底数清，责任明，为地灾防治的工作奠定了良好基础。</w:t>
            </w:r>
          </w:p>
          <w:p w14:paraId="77A5E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lang w:eastAsia="zh-CN"/>
              </w:rPr>
              <w:t>强化值班值守制度。入汛前，对参与值班人员进行了调整，挑选了熟悉业务，工作责任心强的人员参与值班，并进行了上岗前的培训。严格执行领导带班24小时双人双岗值班制度，村组和隐患点执行24小时值守和动态巡查监测制度，确保盯防不空档。同时，加强调度指挥，密切关注雨情变化趋势，提前发布预警信息，做到雨下到哪里，预警信息就发布到哪里。特别强化对降雨重点落区乡镇调度（特别关注夜间的叫应和转移到位），除调度乡镇值班室外，还加密了对隐患点片（点）长、风险区巡查员直接调度频次，以及预警信息和转移指令发送后执行情况的调度，及时全面掌握隐患的情况。着力发挥点长片长、巡查员地灾监测预警“前哨”作用，全力打通预警预防的“最后一厘米”。</w:t>
            </w:r>
          </w:p>
          <w:p w14:paraId="381242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lang w:eastAsia="zh-CN"/>
              </w:rPr>
              <w:t>加强“人防+技防”建设。持续做好往年地灾监测预警项目设备的运行维护工作，不断提高设备在线率，确保设备良好运行。</w:t>
            </w:r>
          </w:p>
          <w:p w14:paraId="07C15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lang w:eastAsia="zh-CN"/>
              </w:rPr>
              <w:t>.广泛宣传，提高群众知晓率。为切实提高群众防灾减灾潜力，增强群众防灾减灾意识，最大限度减少灾害造成的损失，我中心充分利用“4.22世界地球日”、“5.12防灾减灾日”、6月安全生产月等多渠道、多形式开展防灾减灾宣传活动。</w:t>
            </w:r>
          </w:p>
          <w:p w14:paraId="0F3D76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lang w:eastAsia="zh-CN"/>
              </w:rPr>
              <w:t>开展避险演练，提高自救互救能力。为让人民群众掌握了解避险的正确方法，熟悉逃生路线，熟知避险临时安置处，有序快速撤离危险区，进一步增强群众的应急避险意识和自救互救能力，开展应急避险演练。演练达到检验应急队伍、增强协作能力，提升防灾意识能力的目的。</w:t>
            </w:r>
          </w:p>
          <w:p w14:paraId="296BD8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矿产资源相关事务性工作：完成2024年度怀化市市级核查矿业权总数3宗；组织审查矿产类技术报告74份，配合科室参与矿权出让计划、储量年度统计、信息公示核查、规划调整等工作；组织审查地灾类技术报告10份，配合科室参与重大地质灾害治理项目立项、变更、中期检查和竣工验收工作。</w:t>
            </w:r>
          </w:p>
        </w:tc>
      </w:tr>
      <w:tr w14:paraId="545A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8" w:type="dxa"/>
            <w:vMerge w:val="restart"/>
            <w:noWrap w:val="0"/>
            <w:vAlign w:val="center"/>
          </w:tcPr>
          <w:p w14:paraId="0ED314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63F871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5B3DD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2ECDBF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06" w:type="dxa"/>
            <w:noWrap w:val="0"/>
            <w:vAlign w:val="center"/>
          </w:tcPr>
          <w:p w14:paraId="2FBDEC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63" w:type="dxa"/>
            <w:noWrap w:val="0"/>
            <w:vAlign w:val="center"/>
          </w:tcPr>
          <w:p w14:paraId="1F7EF1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71" w:type="dxa"/>
            <w:gridSpan w:val="2"/>
            <w:noWrap w:val="0"/>
            <w:vAlign w:val="center"/>
          </w:tcPr>
          <w:p w14:paraId="0544E3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61" w:type="dxa"/>
            <w:noWrap w:val="0"/>
            <w:vAlign w:val="center"/>
          </w:tcPr>
          <w:p w14:paraId="192A19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52697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05" w:type="dxa"/>
            <w:noWrap w:val="0"/>
            <w:vAlign w:val="center"/>
          </w:tcPr>
          <w:p w14:paraId="676BF8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30B27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91" w:type="dxa"/>
            <w:noWrap w:val="0"/>
            <w:vAlign w:val="center"/>
          </w:tcPr>
          <w:p w14:paraId="77D670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6" w:type="dxa"/>
            <w:noWrap w:val="0"/>
            <w:vAlign w:val="center"/>
          </w:tcPr>
          <w:p w14:paraId="0D96F8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31" w:type="dxa"/>
            <w:noWrap w:val="0"/>
            <w:vAlign w:val="top"/>
          </w:tcPr>
          <w:p w14:paraId="5EBF02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AEF8C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6072C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EF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8" w:type="dxa"/>
            <w:vMerge w:val="continue"/>
            <w:noWrap w:val="0"/>
            <w:vAlign w:val="center"/>
          </w:tcPr>
          <w:p w14:paraId="1ABAA7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restart"/>
            <w:noWrap w:val="0"/>
            <w:vAlign w:val="center"/>
          </w:tcPr>
          <w:p w14:paraId="11A181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63" w:type="dxa"/>
            <w:noWrap w:val="0"/>
            <w:vAlign w:val="center"/>
          </w:tcPr>
          <w:p w14:paraId="265E8A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071" w:type="dxa"/>
            <w:gridSpan w:val="2"/>
            <w:noWrap w:val="0"/>
            <w:vAlign w:val="center"/>
          </w:tcPr>
          <w:p w14:paraId="1E15D7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整体成本控制</w:t>
            </w:r>
          </w:p>
        </w:tc>
        <w:tc>
          <w:tcPr>
            <w:tcW w:w="1161" w:type="dxa"/>
            <w:noWrap w:val="0"/>
            <w:vAlign w:val="center"/>
          </w:tcPr>
          <w:p w14:paraId="749AE7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w:t>
            </w:r>
            <w:r>
              <w:rPr>
                <w:rFonts w:hint="eastAsia" w:ascii="仿宋" w:hAnsi="仿宋" w:eastAsia="仿宋" w:cs="仿宋"/>
                <w:sz w:val="20"/>
                <w:szCs w:val="20"/>
              </w:rPr>
              <w:t>271.51</w:t>
            </w:r>
            <w:r>
              <w:rPr>
                <w:rFonts w:hint="eastAsia" w:ascii="仿宋" w:hAnsi="仿宋" w:eastAsia="仿宋" w:cs="仿宋"/>
                <w:color w:val="000000"/>
                <w:kern w:val="0"/>
                <w:sz w:val="20"/>
                <w:szCs w:val="20"/>
                <w:lang w:val="en-US" w:eastAsia="zh-CN"/>
              </w:rPr>
              <w:t>万元</w:t>
            </w:r>
          </w:p>
        </w:tc>
        <w:tc>
          <w:tcPr>
            <w:tcW w:w="1105" w:type="dxa"/>
            <w:noWrap w:val="0"/>
            <w:vAlign w:val="center"/>
          </w:tcPr>
          <w:p w14:paraId="5CE2DC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sz w:val="20"/>
                <w:szCs w:val="20"/>
              </w:rPr>
              <w:t>271.51</w:t>
            </w:r>
            <w:r>
              <w:rPr>
                <w:rFonts w:hint="eastAsia" w:ascii="仿宋" w:hAnsi="仿宋" w:eastAsia="仿宋" w:cs="仿宋"/>
                <w:sz w:val="20"/>
                <w:szCs w:val="20"/>
                <w:lang w:val="en-US" w:eastAsia="zh-CN"/>
              </w:rPr>
              <w:t>万元</w:t>
            </w:r>
          </w:p>
        </w:tc>
        <w:tc>
          <w:tcPr>
            <w:tcW w:w="691" w:type="dxa"/>
            <w:noWrap w:val="0"/>
            <w:vAlign w:val="center"/>
          </w:tcPr>
          <w:p w14:paraId="390D6A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0B4182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1" w:type="dxa"/>
            <w:noWrap w:val="0"/>
            <w:vAlign w:val="center"/>
          </w:tcPr>
          <w:p w14:paraId="4CAABC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B32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18" w:type="dxa"/>
            <w:vMerge w:val="continue"/>
            <w:noWrap w:val="0"/>
            <w:vAlign w:val="center"/>
          </w:tcPr>
          <w:p w14:paraId="074C48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782D4E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6E618B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071" w:type="dxa"/>
            <w:gridSpan w:val="2"/>
            <w:noWrap w:val="0"/>
            <w:vAlign w:val="center"/>
          </w:tcPr>
          <w:p w14:paraId="52B69B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社会成本节约率</w:t>
            </w:r>
          </w:p>
        </w:tc>
        <w:tc>
          <w:tcPr>
            <w:tcW w:w="1161" w:type="dxa"/>
            <w:noWrap w:val="0"/>
            <w:vAlign w:val="center"/>
          </w:tcPr>
          <w:p w14:paraId="5922EB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≥0%</w:t>
            </w:r>
          </w:p>
        </w:tc>
        <w:tc>
          <w:tcPr>
            <w:tcW w:w="1105" w:type="dxa"/>
            <w:noWrap w:val="0"/>
            <w:vAlign w:val="center"/>
          </w:tcPr>
          <w:p w14:paraId="2A0FF5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691" w:type="dxa"/>
            <w:noWrap w:val="0"/>
            <w:vAlign w:val="center"/>
          </w:tcPr>
          <w:p w14:paraId="2B5B96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3D95DE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1" w:type="dxa"/>
            <w:noWrap w:val="0"/>
            <w:vAlign w:val="center"/>
          </w:tcPr>
          <w:p w14:paraId="08AE29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391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8" w:type="dxa"/>
            <w:vMerge w:val="continue"/>
            <w:noWrap w:val="0"/>
            <w:vAlign w:val="center"/>
          </w:tcPr>
          <w:p w14:paraId="44840C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2E6E31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07B13F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071" w:type="dxa"/>
            <w:gridSpan w:val="2"/>
            <w:noWrap w:val="0"/>
            <w:vAlign w:val="center"/>
          </w:tcPr>
          <w:p w14:paraId="1CFF9F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生态环境成本节约率</w:t>
            </w:r>
          </w:p>
        </w:tc>
        <w:tc>
          <w:tcPr>
            <w:tcW w:w="1161" w:type="dxa"/>
            <w:noWrap w:val="0"/>
            <w:vAlign w:val="center"/>
          </w:tcPr>
          <w:p w14:paraId="05948B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05" w:type="dxa"/>
            <w:noWrap w:val="0"/>
            <w:vAlign w:val="center"/>
          </w:tcPr>
          <w:p w14:paraId="67CE1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691" w:type="dxa"/>
            <w:noWrap w:val="0"/>
            <w:vAlign w:val="center"/>
          </w:tcPr>
          <w:p w14:paraId="0C67BF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599419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1" w:type="dxa"/>
            <w:noWrap w:val="0"/>
            <w:vAlign w:val="center"/>
          </w:tcPr>
          <w:p w14:paraId="42DA30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76E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8" w:type="dxa"/>
            <w:vMerge w:val="continue"/>
            <w:noWrap w:val="0"/>
            <w:vAlign w:val="center"/>
          </w:tcPr>
          <w:p w14:paraId="2611A2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restart"/>
            <w:noWrap w:val="0"/>
            <w:vAlign w:val="center"/>
          </w:tcPr>
          <w:p w14:paraId="344070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6B64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vMerge w:val="restart"/>
            <w:noWrap w:val="0"/>
            <w:vAlign w:val="center"/>
          </w:tcPr>
          <w:p w14:paraId="150AA9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4700E1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1" w:type="dxa"/>
            <w:gridSpan w:val="2"/>
            <w:noWrap w:val="0"/>
            <w:vAlign w:val="center"/>
          </w:tcPr>
          <w:p w14:paraId="61BA85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“三查”工作</w:t>
            </w:r>
          </w:p>
        </w:tc>
        <w:tc>
          <w:tcPr>
            <w:tcW w:w="1161" w:type="dxa"/>
            <w:noWrap w:val="0"/>
            <w:vAlign w:val="center"/>
          </w:tcPr>
          <w:p w14:paraId="076B93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汛前排查、汛中巡查、汛后核查3期</w:t>
            </w:r>
          </w:p>
        </w:tc>
        <w:tc>
          <w:tcPr>
            <w:tcW w:w="1105" w:type="dxa"/>
            <w:noWrap w:val="0"/>
            <w:vAlign w:val="center"/>
          </w:tcPr>
          <w:p w14:paraId="203FEC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汛前排查、汛中巡查、汛后核查3期</w:t>
            </w:r>
          </w:p>
        </w:tc>
        <w:tc>
          <w:tcPr>
            <w:tcW w:w="691" w:type="dxa"/>
            <w:noWrap w:val="0"/>
            <w:vAlign w:val="center"/>
          </w:tcPr>
          <w:p w14:paraId="084F53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16" w:type="dxa"/>
            <w:noWrap w:val="0"/>
            <w:vAlign w:val="center"/>
          </w:tcPr>
          <w:p w14:paraId="39AFD6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1131" w:type="dxa"/>
            <w:noWrap w:val="0"/>
            <w:vAlign w:val="center"/>
          </w:tcPr>
          <w:p w14:paraId="203F3E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D0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8" w:type="dxa"/>
            <w:vMerge w:val="continue"/>
            <w:noWrap w:val="0"/>
            <w:vAlign w:val="center"/>
          </w:tcPr>
          <w:p w14:paraId="6C7E51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170452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72503C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gridSpan w:val="2"/>
            <w:shd w:val="clear" w:color="auto" w:fill="auto"/>
            <w:noWrap w:val="0"/>
            <w:vAlign w:val="center"/>
          </w:tcPr>
          <w:p w14:paraId="012DAB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防灾减灾宣传活动</w:t>
            </w:r>
          </w:p>
        </w:tc>
        <w:tc>
          <w:tcPr>
            <w:tcW w:w="1161" w:type="dxa"/>
            <w:shd w:val="clear" w:color="auto" w:fill="auto"/>
            <w:noWrap w:val="0"/>
            <w:vAlign w:val="center"/>
          </w:tcPr>
          <w:p w14:paraId="542CDD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≥3次</w:t>
            </w:r>
          </w:p>
        </w:tc>
        <w:tc>
          <w:tcPr>
            <w:tcW w:w="1105" w:type="dxa"/>
            <w:shd w:val="clear" w:color="auto" w:fill="auto"/>
            <w:noWrap w:val="0"/>
            <w:vAlign w:val="center"/>
          </w:tcPr>
          <w:p w14:paraId="0C2C69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3次以上</w:t>
            </w:r>
          </w:p>
        </w:tc>
        <w:tc>
          <w:tcPr>
            <w:tcW w:w="691" w:type="dxa"/>
            <w:shd w:val="clear" w:color="auto" w:fill="auto"/>
            <w:noWrap w:val="0"/>
            <w:vAlign w:val="center"/>
          </w:tcPr>
          <w:p w14:paraId="2E8482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3</w:t>
            </w:r>
          </w:p>
        </w:tc>
        <w:tc>
          <w:tcPr>
            <w:tcW w:w="816" w:type="dxa"/>
            <w:shd w:val="clear" w:color="auto" w:fill="auto"/>
            <w:noWrap w:val="0"/>
            <w:vAlign w:val="center"/>
          </w:tcPr>
          <w:p w14:paraId="4518B0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3</w:t>
            </w:r>
          </w:p>
        </w:tc>
        <w:tc>
          <w:tcPr>
            <w:tcW w:w="1131" w:type="dxa"/>
            <w:shd w:val="clear" w:color="auto" w:fill="auto"/>
            <w:noWrap w:val="0"/>
            <w:vAlign w:val="center"/>
          </w:tcPr>
          <w:p w14:paraId="1575C3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4DEA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8" w:type="dxa"/>
            <w:vMerge w:val="continue"/>
            <w:noWrap w:val="0"/>
            <w:vAlign w:val="center"/>
          </w:tcPr>
          <w:p w14:paraId="3CB528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182550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753532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gridSpan w:val="2"/>
            <w:noWrap w:val="0"/>
            <w:vAlign w:val="center"/>
          </w:tcPr>
          <w:p w14:paraId="76E234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地质灾害防治知识培训</w:t>
            </w:r>
          </w:p>
        </w:tc>
        <w:tc>
          <w:tcPr>
            <w:tcW w:w="1161" w:type="dxa"/>
            <w:noWrap w:val="0"/>
            <w:vAlign w:val="center"/>
          </w:tcPr>
          <w:p w14:paraId="600FD8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≥2次</w:t>
            </w:r>
          </w:p>
        </w:tc>
        <w:tc>
          <w:tcPr>
            <w:tcW w:w="1105" w:type="dxa"/>
            <w:noWrap w:val="0"/>
            <w:vAlign w:val="center"/>
          </w:tcPr>
          <w:p w14:paraId="086B27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2次</w:t>
            </w:r>
          </w:p>
        </w:tc>
        <w:tc>
          <w:tcPr>
            <w:tcW w:w="691" w:type="dxa"/>
            <w:noWrap w:val="0"/>
            <w:vAlign w:val="center"/>
          </w:tcPr>
          <w:p w14:paraId="04A973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16" w:type="dxa"/>
            <w:noWrap w:val="0"/>
            <w:vAlign w:val="center"/>
          </w:tcPr>
          <w:p w14:paraId="2A62A4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131" w:type="dxa"/>
            <w:noWrap w:val="0"/>
            <w:vAlign w:val="center"/>
          </w:tcPr>
          <w:p w14:paraId="435066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D24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18" w:type="dxa"/>
            <w:vMerge w:val="continue"/>
            <w:noWrap w:val="0"/>
            <w:vAlign w:val="center"/>
          </w:tcPr>
          <w:p w14:paraId="137927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14FB1F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1070A2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gridSpan w:val="2"/>
            <w:shd w:val="clear" w:color="auto" w:fill="auto"/>
            <w:noWrap w:val="0"/>
            <w:vAlign w:val="center"/>
          </w:tcPr>
          <w:p w14:paraId="4934BC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地质灾害应急演练</w:t>
            </w:r>
          </w:p>
        </w:tc>
        <w:tc>
          <w:tcPr>
            <w:tcW w:w="1161" w:type="dxa"/>
            <w:shd w:val="clear" w:color="auto" w:fill="auto"/>
            <w:noWrap w:val="0"/>
            <w:vAlign w:val="center"/>
          </w:tcPr>
          <w:p w14:paraId="2D1217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≥1次</w:t>
            </w:r>
          </w:p>
        </w:tc>
        <w:tc>
          <w:tcPr>
            <w:tcW w:w="1105" w:type="dxa"/>
            <w:shd w:val="clear" w:color="auto" w:fill="auto"/>
            <w:noWrap w:val="0"/>
            <w:vAlign w:val="center"/>
          </w:tcPr>
          <w:p w14:paraId="57CDE3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1次</w:t>
            </w:r>
          </w:p>
        </w:tc>
        <w:tc>
          <w:tcPr>
            <w:tcW w:w="691" w:type="dxa"/>
            <w:shd w:val="clear" w:color="auto" w:fill="auto"/>
            <w:noWrap w:val="0"/>
            <w:vAlign w:val="center"/>
          </w:tcPr>
          <w:p w14:paraId="5DF434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3</w:t>
            </w:r>
          </w:p>
        </w:tc>
        <w:tc>
          <w:tcPr>
            <w:tcW w:w="816" w:type="dxa"/>
            <w:shd w:val="clear" w:color="auto" w:fill="auto"/>
            <w:noWrap w:val="0"/>
            <w:vAlign w:val="center"/>
          </w:tcPr>
          <w:p w14:paraId="07F53D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3</w:t>
            </w:r>
          </w:p>
        </w:tc>
        <w:tc>
          <w:tcPr>
            <w:tcW w:w="1131" w:type="dxa"/>
            <w:shd w:val="clear" w:color="auto" w:fill="auto"/>
            <w:noWrap w:val="0"/>
            <w:vAlign w:val="center"/>
          </w:tcPr>
          <w:p w14:paraId="72DB48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1A37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8" w:type="dxa"/>
            <w:vMerge w:val="continue"/>
            <w:noWrap w:val="0"/>
            <w:vAlign w:val="center"/>
          </w:tcPr>
          <w:p w14:paraId="062146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1E1F74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restart"/>
            <w:noWrap w:val="0"/>
            <w:vAlign w:val="center"/>
          </w:tcPr>
          <w:p w14:paraId="75A6F1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360E61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1" w:type="dxa"/>
            <w:gridSpan w:val="2"/>
            <w:noWrap w:val="0"/>
            <w:vAlign w:val="center"/>
          </w:tcPr>
          <w:p w14:paraId="0991FC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地质灾害应急演练、宣传覆盖率</w:t>
            </w:r>
          </w:p>
        </w:tc>
        <w:tc>
          <w:tcPr>
            <w:tcW w:w="1161" w:type="dxa"/>
            <w:noWrap w:val="0"/>
            <w:vAlign w:val="center"/>
          </w:tcPr>
          <w:p w14:paraId="1BAC84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105" w:type="dxa"/>
            <w:noWrap w:val="0"/>
            <w:vAlign w:val="center"/>
          </w:tcPr>
          <w:p w14:paraId="0BBB80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691" w:type="dxa"/>
            <w:noWrap w:val="0"/>
            <w:vAlign w:val="center"/>
          </w:tcPr>
          <w:p w14:paraId="6A5BC5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16" w:type="dxa"/>
            <w:noWrap w:val="0"/>
            <w:vAlign w:val="center"/>
          </w:tcPr>
          <w:p w14:paraId="586AF2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131" w:type="dxa"/>
            <w:noWrap w:val="0"/>
            <w:vAlign w:val="center"/>
          </w:tcPr>
          <w:p w14:paraId="6DA29D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3C75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8" w:type="dxa"/>
            <w:vMerge w:val="continue"/>
            <w:noWrap w:val="0"/>
            <w:vAlign w:val="center"/>
          </w:tcPr>
          <w:p w14:paraId="3EB5B5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0FAD84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4AF220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gridSpan w:val="2"/>
            <w:noWrap w:val="0"/>
            <w:vAlign w:val="center"/>
          </w:tcPr>
          <w:p w14:paraId="1C7281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监测设备在线率</w:t>
            </w:r>
          </w:p>
        </w:tc>
        <w:tc>
          <w:tcPr>
            <w:tcW w:w="1161" w:type="dxa"/>
            <w:noWrap w:val="0"/>
            <w:vAlign w:val="center"/>
          </w:tcPr>
          <w:p w14:paraId="09D514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≥90%</w:t>
            </w:r>
          </w:p>
        </w:tc>
        <w:tc>
          <w:tcPr>
            <w:tcW w:w="1105" w:type="dxa"/>
            <w:noWrap w:val="0"/>
            <w:vAlign w:val="center"/>
          </w:tcPr>
          <w:p w14:paraId="19FB7F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92%</w:t>
            </w:r>
          </w:p>
        </w:tc>
        <w:tc>
          <w:tcPr>
            <w:tcW w:w="691" w:type="dxa"/>
            <w:noWrap w:val="0"/>
            <w:vAlign w:val="center"/>
          </w:tcPr>
          <w:p w14:paraId="0626BD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16" w:type="dxa"/>
            <w:noWrap w:val="0"/>
            <w:vAlign w:val="center"/>
          </w:tcPr>
          <w:p w14:paraId="12BEC2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131" w:type="dxa"/>
            <w:noWrap w:val="0"/>
            <w:vAlign w:val="center"/>
          </w:tcPr>
          <w:p w14:paraId="1BE5DD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71D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8" w:type="dxa"/>
            <w:vMerge w:val="continue"/>
            <w:noWrap w:val="0"/>
            <w:vAlign w:val="center"/>
          </w:tcPr>
          <w:p w14:paraId="2D6EE1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590B3F4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07C05F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2F933C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1" w:type="dxa"/>
            <w:gridSpan w:val="2"/>
            <w:noWrap w:val="0"/>
            <w:vAlign w:val="center"/>
          </w:tcPr>
          <w:p w14:paraId="20035E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及时完成情况</w:t>
            </w:r>
          </w:p>
        </w:tc>
        <w:tc>
          <w:tcPr>
            <w:tcW w:w="1161" w:type="dxa"/>
            <w:noWrap w:val="0"/>
            <w:vAlign w:val="center"/>
          </w:tcPr>
          <w:p w14:paraId="01504D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2024年12月31日之前</w:t>
            </w:r>
          </w:p>
        </w:tc>
        <w:tc>
          <w:tcPr>
            <w:tcW w:w="1105" w:type="dxa"/>
            <w:noWrap w:val="0"/>
            <w:vAlign w:val="center"/>
          </w:tcPr>
          <w:p w14:paraId="764D3D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2024年12月31日之前</w:t>
            </w:r>
          </w:p>
        </w:tc>
        <w:tc>
          <w:tcPr>
            <w:tcW w:w="691" w:type="dxa"/>
            <w:noWrap w:val="0"/>
            <w:vAlign w:val="center"/>
          </w:tcPr>
          <w:p w14:paraId="21231F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16" w:type="dxa"/>
            <w:noWrap w:val="0"/>
            <w:vAlign w:val="center"/>
          </w:tcPr>
          <w:p w14:paraId="7A859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1131" w:type="dxa"/>
            <w:noWrap w:val="0"/>
            <w:vAlign w:val="center"/>
          </w:tcPr>
          <w:p w14:paraId="7E0C5A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6EF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8" w:type="dxa"/>
            <w:vMerge w:val="continue"/>
            <w:noWrap w:val="0"/>
            <w:vAlign w:val="center"/>
          </w:tcPr>
          <w:p w14:paraId="572813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restart"/>
            <w:noWrap w:val="0"/>
            <w:vAlign w:val="center"/>
          </w:tcPr>
          <w:p w14:paraId="5511EB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F1718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376406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134A5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1" w:type="dxa"/>
            <w:gridSpan w:val="2"/>
            <w:noWrap w:val="0"/>
            <w:vAlign w:val="center"/>
          </w:tcPr>
          <w:p w14:paraId="6F4337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最大限度减少灾害损失</w:t>
            </w:r>
          </w:p>
        </w:tc>
        <w:tc>
          <w:tcPr>
            <w:tcW w:w="1161" w:type="dxa"/>
            <w:noWrap w:val="0"/>
            <w:vAlign w:val="center"/>
          </w:tcPr>
          <w:p w14:paraId="6D8419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05" w:type="dxa"/>
            <w:noWrap w:val="0"/>
            <w:vAlign w:val="center"/>
          </w:tcPr>
          <w:p w14:paraId="11A6E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效果良好</w:t>
            </w:r>
          </w:p>
        </w:tc>
        <w:tc>
          <w:tcPr>
            <w:tcW w:w="691" w:type="dxa"/>
            <w:noWrap w:val="0"/>
            <w:vAlign w:val="center"/>
          </w:tcPr>
          <w:p w14:paraId="7BEF8F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21BC68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131" w:type="dxa"/>
            <w:noWrap w:val="0"/>
            <w:vAlign w:val="center"/>
          </w:tcPr>
          <w:p w14:paraId="11ACC9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0EE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8" w:type="dxa"/>
            <w:vMerge w:val="continue"/>
            <w:noWrap w:val="0"/>
            <w:vAlign w:val="center"/>
          </w:tcPr>
          <w:p w14:paraId="763FF2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3C389B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restart"/>
            <w:noWrap w:val="0"/>
            <w:vAlign w:val="center"/>
          </w:tcPr>
          <w:p w14:paraId="4CE35D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07F8E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1" w:type="dxa"/>
            <w:gridSpan w:val="2"/>
            <w:noWrap w:val="0"/>
            <w:vAlign w:val="center"/>
          </w:tcPr>
          <w:p w14:paraId="455DFE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监测预警区地质灾害防范能力</w:t>
            </w:r>
          </w:p>
        </w:tc>
        <w:tc>
          <w:tcPr>
            <w:tcW w:w="1161" w:type="dxa"/>
            <w:noWrap w:val="0"/>
            <w:vAlign w:val="center"/>
          </w:tcPr>
          <w:p w14:paraId="753180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有所提高</w:t>
            </w:r>
          </w:p>
        </w:tc>
        <w:tc>
          <w:tcPr>
            <w:tcW w:w="1105" w:type="dxa"/>
            <w:noWrap w:val="0"/>
            <w:vAlign w:val="center"/>
          </w:tcPr>
          <w:p w14:paraId="76472A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有所提高</w:t>
            </w:r>
          </w:p>
        </w:tc>
        <w:tc>
          <w:tcPr>
            <w:tcW w:w="691" w:type="dxa"/>
            <w:noWrap w:val="0"/>
            <w:vAlign w:val="center"/>
          </w:tcPr>
          <w:p w14:paraId="6D24AA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0C7364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1" w:type="dxa"/>
            <w:noWrap w:val="0"/>
            <w:vAlign w:val="center"/>
          </w:tcPr>
          <w:p w14:paraId="7D6FB0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4DF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8" w:type="dxa"/>
            <w:vMerge w:val="continue"/>
            <w:noWrap w:val="0"/>
            <w:vAlign w:val="center"/>
          </w:tcPr>
          <w:p w14:paraId="3FB8AB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52F566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0A8BE1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gridSpan w:val="2"/>
            <w:noWrap w:val="0"/>
            <w:vAlign w:val="center"/>
          </w:tcPr>
          <w:p w14:paraId="615594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群众防灾避险意识和临灾避险能力</w:t>
            </w:r>
          </w:p>
        </w:tc>
        <w:tc>
          <w:tcPr>
            <w:tcW w:w="1161" w:type="dxa"/>
            <w:noWrap w:val="0"/>
            <w:vAlign w:val="center"/>
          </w:tcPr>
          <w:p w14:paraId="565381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有所提高</w:t>
            </w:r>
          </w:p>
        </w:tc>
        <w:tc>
          <w:tcPr>
            <w:tcW w:w="1105" w:type="dxa"/>
            <w:noWrap w:val="0"/>
            <w:vAlign w:val="center"/>
          </w:tcPr>
          <w:p w14:paraId="7F7F05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有所提高</w:t>
            </w:r>
          </w:p>
        </w:tc>
        <w:tc>
          <w:tcPr>
            <w:tcW w:w="691" w:type="dxa"/>
            <w:noWrap w:val="0"/>
            <w:vAlign w:val="center"/>
          </w:tcPr>
          <w:p w14:paraId="1D9A30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4A0920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1" w:type="dxa"/>
            <w:noWrap w:val="0"/>
            <w:vAlign w:val="center"/>
          </w:tcPr>
          <w:p w14:paraId="778813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A0F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8" w:type="dxa"/>
            <w:vMerge w:val="continue"/>
            <w:noWrap w:val="0"/>
            <w:vAlign w:val="center"/>
          </w:tcPr>
          <w:p w14:paraId="099292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7FB595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vMerge w:val="continue"/>
            <w:noWrap w:val="0"/>
            <w:vAlign w:val="center"/>
          </w:tcPr>
          <w:p w14:paraId="633A5E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gridSpan w:val="2"/>
            <w:noWrap w:val="0"/>
            <w:vAlign w:val="center"/>
          </w:tcPr>
          <w:p w14:paraId="1CE950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工程治理区群众生命财产安全保障</w:t>
            </w:r>
          </w:p>
        </w:tc>
        <w:tc>
          <w:tcPr>
            <w:tcW w:w="1161" w:type="dxa"/>
            <w:noWrap w:val="0"/>
            <w:vAlign w:val="center"/>
          </w:tcPr>
          <w:p w14:paraId="056D95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有所提升</w:t>
            </w:r>
          </w:p>
        </w:tc>
        <w:tc>
          <w:tcPr>
            <w:tcW w:w="1105" w:type="dxa"/>
            <w:noWrap w:val="0"/>
            <w:vAlign w:val="center"/>
          </w:tcPr>
          <w:p w14:paraId="67627E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有所提升</w:t>
            </w:r>
          </w:p>
        </w:tc>
        <w:tc>
          <w:tcPr>
            <w:tcW w:w="691" w:type="dxa"/>
            <w:noWrap w:val="0"/>
            <w:vAlign w:val="center"/>
          </w:tcPr>
          <w:p w14:paraId="4E3753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21E3CF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1" w:type="dxa"/>
            <w:noWrap w:val="0"/>
            <w:vAlign w:val="center"/>
          </w:tcPr>
          <w:p w14:paraId="2593EF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BFE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18" w:type="dxa"/>
            <w:vMerge w:val="continue"/>
            <w:noWrap w:val="0"/>
            <w:vAlign w:val="center"/>
          </w:tcPr>
          <w:p w14:paraId="6A5880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235610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59C499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090220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1" w:type="dxa"/>
            <w:gridSpan w:val="2"/>
            <w:noWrap w:val="0"/>
            <w:vAlign w:val="center"/>
          </w:tcPr>
          <w:p w14:paraId="6D652D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推进全市地质灾害防治发展和生态保护修复</w:t>
            </w:r>
          </w:p>
        </w:tc>
        <w:tc>
          <w:tcPr>
            <w:tcW w:w="1161" w:type="dxa"/>
            <w:noWrap w:val="0"/>
            <w:vAlign w:val="center"/>
          </w:tcPr>
          <w:p w14:paraId="0B0427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效果明显</w:t>
            </w:r>
          </w:p>
        </w:tc>
        <w:tc>
          <w:tcPr>
            <w:tcW w:w="1105" w:type="dxa"/>
            <w:noWrap w:val="0"/>
            <w:vAlign w:val="center"/>
          </w:tcPr>
          <w:p w14:paraId="26E08D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691" w:type="dxa"/>
            <w:noWrap w:val="0"/>
            <w:vAlign w:val="center"/>
          </w:tcPr>
          <w:p w14:paraId="01EAA32C">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671589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1" w:type="dxa"/>
            <w:noWrap w:val="0"/>
            <w:vAlign w:val="center"/>
          </w:tcPr>
          <w:p w14:paraId="4A613D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193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8" w:type="dxa"/>
            <w:vMerge w:val="continue"/>
            <w:noWrap w:val="0"/>
            <w:vAlign w:val="center"/>
          </w:tcPr>
          <w:p w14:paraId="7883C0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6" w:type="dxa"/>
            <w:vMerge w:val="continue"/>
            <w:noWrap w:val="0"/>
            <w:vAlign w:val="center"/>
          </w:tcPr>
          <w:p w14:paraId="380102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3" w:type="dxa"/>
            <w:noWrap w:val="0"/>
            <w:vAlign w:val="center"/>
          </w:tcPr>
          <w:p w14:paraId="6FFB4A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71" w:type="dxa"/>
            <w:gridSpan w:val="2"/>
            <w:noWrap w:val="0"/>
            <w:vAlign w:val="center"/>
          </w:tcPr>
          <w:p w14:paraId="6A1D45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推动全市地质灾害防治、矿产资源可持续发展</w:t>
            </w:r>
          </w:p>
        </w:tc>
        <w:tc>
          <w:tcPr>
            <w:tcW w:w="1161" w:type="dxa"/>
            <w:noWrap w:val="0"/>
            <w:vAlign w:val="center"/>
          </w:tcPr>
          <w:p w14:paraId="22E250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05" w:type="dxa"/>
            <w:noWrap w:val="0"/>
            <w:vAlign w:val="center"/>
          </w:tcPr>
          <w:p w14:paraId="2FBADC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691" w:type="dxa"/>
            <w:noWrap w:val="0"/>
            <w:vAlign w:val="center"/>
          </w:tcPr>
          <w:p w14:paraId="2DDEDC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6" w:type="dxa"/>
            <w:noWrap w:val="0"/>
            <w:vAlign w:val="center"/>
          </w:tcPr>
          <w:p w14:paraId="531CD7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1" w:type="dxa"/>
            <w:noWrap w:val="0"/>
            <w:vAlign w:val="center"/>
          </w:tcPr>
          <w:p w14:paraId="014C11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645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8" w:type="dxa"/>
            <w:vMerge w:val="continue"/>
            <w:noWrap w:val="0"/>
            <w:vAlign w:val="center"/>
          </w:tcPr>
          <w:p w14:paraId="198041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6" w:type="dxa"/>
            <w:noWrap w:val="0"/>
            <w:vAlign w:val="center"/>
          </w:tcPr>
          <w:p w14:paraId="17C8D9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E6448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0F33E3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3" w:type="dxa"/>
            <w:noWrap w:val="0"/>
            <w:vAlign w:val="center"/>
          </w:tcPr>
          <w:p w14:paraId="4B6411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71" w:type="dxa"/>
            <w:gridSpan w:val="2"/>
            <w:noWrap w:val="0"/>
            <w:vAlign w:val="center"/>
          </w:tcPr>
          <w:p w14:paraId="66BB90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社会公众满意度</w:t>
            </w:r>
          </w:p>
        </w:tc>
        <w:tc>
          <w:tcPr>
            <w:tcW w:w="1161" w:type="dxa"/>
            <w:noWrap w:val="0"/>
            <w:vAlign w:val="center"/>
          </w:tcPr>
          <w:p w14:paraId="6D90C3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≥90%</w:t>
            </w:r>
          </w:p>
        </w:tc>
        <w:tc>
          <w:tcPr>
            <w:tcW w:w="1105" w:type="dxa"/>
            <w:noWrap w:val="0"/>
            <w:vAlign w:val="center"/>
          </w:tcPr>
          <w:p w14:paraId="3DB061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691" w:type="dxa"/>
            <w:noWrap w:val="0"/>
            <w:vAlign w:val="center"/>
          </w:tcPr>
          <w:p w14:paraId="3DDEF4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46ADE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1" w:type="dxa"/>
            <w:noWrap w:val="0"/>
            <w:vAlign w:val="center"/>
          </w:tcPr>
          <w:p w14:paraId="4819CF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AEC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4" w:type="dxa"/>
            <w:gridSpan w:val="7"/>
            <w:noWrap w:val="0"/>
            <w:vAlign w:val="center"/>
          </w:tcPr>
          <w:p w14:paraId="0C5F53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91" w:type="dxa"/>
            <w:noWrap w:val="0"/>
            <w:vAlign w:val="center"/>
          </w:tcPr>
          <w:p w14:paraId="7D1CEE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6" w:type="dxa"/>
            <w:noWrap w:val="0"/>
            <w:vAlign w:val="center"/>
          </w:tcPr>
          <w:p w14:paraId="14406F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w:t>
            </w:r>
          </w:p>
        </w:tc>
        <w:tc>
          <w:tcPr>
            <w:tcW w:w="1131" w:type="dxa"/>
            <w:noWrap w:val="0"/>
            <w:vAlign w:val="center"/>
          </w:tcPr>
          <w:p w14:paraId="18A91C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46786B31">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李洪妮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2025.6.4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：15307455303</w:t>
      </w:r>
    </w:p>
    <w:p w14:paraId="25684B12">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5D70959C">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3D79DF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40563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1B501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5F75F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8EB38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A7067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82BD1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地灾防治专项工作经费</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怀化市自然资源和规划局</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怀化市地质灾害防治中心</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45.85</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45.85</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45.85</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45.85</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04BC14D">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最大限度的减少因自然地质灾害导致的人民群众生命财产安全。　</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w:t>
            </w:r>
            <w:r>
              <w:rPr>
                <w:rFonts w:hint="eastAsia" w:ascii="仿宋" w:hAnsi="仿宋" w:eastAsia="仿宋" w:cs="仿宋"/>
                <w:color w:val="000000"/>
                <w:kern w:val="0"/>
                <w:sz w:val="20"/>
                <w:szCs w:val="20"/>
              </w:rPr>
              <w:t>年以来，地灾中心在局党组的正确领导下，以习近平总书记关于防灾减灾救灾“两个坚持、三个转变”重要论述为根本遵循，始终坚持人民至上、生命至上，在完善体系、健全机制、夯实责任、狠抓落实上下功夫，经过全市上下艰辛努力、主动作为、部门协同奋战，在册地灾隐患点及切坡建房户未发生因地质灾害造成的人员伤亡和重大财产损失，较好的实现了地灾年度防治目标</w:t>
            </w:r>
            <w:r>
              <w:rPr>
                <w:rFonts w:hint="eastAsia" w:ascii="仿宋" w:hAnsi="仿宋" w:eastAsia="仿宋" w:cs="仿宋"/>
                <w:color w:val="000000"/>
                <w:kern w:val="0"/>
                <w:sz w:val="20"/>
                <w:szCs w:val="20"/>
                <w:lang w:eastAsia="zh-CN"/>
              </w:rPr>
              <w:t>。</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≤45.85万元</w:t>
            </w: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45.85万元</w:t>
            </w: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A2E37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02BE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6EDF71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62F2AB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590D74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3A4EFB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3B8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A3F1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1209" w:type="dxa"/>
            <w:shd w:val="clear" w:color="auto" w:fill="auto"/>
            <w:noWrap w:val="0"/>
            <w:vAlign w:val="center"/>
          </w:tcPr>
          <w:p w14:paraId="0CC80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134" w:type="dxa"/>
            <w:shd w:val="clear" w:color="auto" w:fill="auto"/>
            <w:noWrap w:val="0"/>
            <w:vAlign w:val="center"/>
          </w:tcPr>
          <w:p w14:paraId="56E806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828" w:type="dxa"/>
            <w:noWrap w:val="0"/>
            <w:vAlign w:val="center"/>
          </w:tcPr>
          <w:p w14:paraId="1A93B4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B20AC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256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B01D2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6F24C1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restart"/>
            <w:noWrap w:val="0"/>
            <w:vAlign w:val="center"/>
          </w:tcPr>
          <w:p w14:paraId="4DA8B5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462C75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地灾防治专项人员</w:t>
            </w:r>
          </w:p>
        </w:tc>
        <w:tc>
          <w:tcPr>
            <w:tcW w:w="1209" w:type="dxa"/>
            <w:shd w:val="clear" w:color="auto" w:fill="auto"/>
            <w:noWrap w:val="0"/>
            <w:vAlign w:val="center"/>
          </w:tcPr>
          <w:p w14:paraId="28D95B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17人</w:t>
            </w:r>
          </w:p>
        </w:tc>
        <w:tc>
          <w:tcPr>
            <w:tcW w:w="1134" w:type="dxa"/>
            <w:shd w:val="clear" w:color="auto" w:fill="auto"/>
            <w:noWrap w:val="0"/>
            <w:vAlign w:val="center"/>
          </w:tcPr>
          <w:p w14:paraId="2B6276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17人</w:t>
            </w:r>
          </w:p>
        </w:tc>
        <w:tc>
          <w:tcPr>
            <w:tcW w:w="828" w:type="dxa"/>
            <w:noWrap w:val="0"/>
            <w:vAlign w:val="center"/>
          </w:tcPr>
          <w:p w14:paraId="490D39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73" w:type="dxa"/>
            <w:noWrap w:val="0"/>
            <w:vAlign w:val="center"/>
          </w:tcPr>
          <w:p w14:paraId="22685C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418" w:type="dxa"/>
            <w:noWrap w:val="0"/>
            <w:vAlign w:val="center"/>
          </w:tcPr>
          <w:p w14:paraId="3B9370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7D6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084612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59B02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102E07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1B63DC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在册地灾隐患点排查</w:t>
            </w:r>
          </w:p>
        </w:tc>
        <w:tc>
          <w:tcPr>
            <w:tcW w:w="1209" w:type="dxa"/>
            <w:shd w:val="clear" w:color="auto" w:fill="auto"/>
            <w:noWrap w:val="0"/>
            <w:vAlign w:val="center"/>
          </w:tcPr>
          <w:p w14:paraId="4C5330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13个县市区</w:t>
            </w:r>
          </w:p>
        </w:tc>
        <w:tc>
          <w:tcPr>
            <w:tcW w:w="1134" w:type="dxa"/>
            <w:shd w:val="clear" w:color="auto" w:fill="auto"/>
            <w:noWrap w:val="0"/>
            <w:vAlign w:val="center"/>
          </w:tcPr>
          <w:p w14:paraId="0D49C4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13个县市区</w:t>
            </w:r>
          </w:p>
        </w:tc>
        <w:tc>
          <w:tcPr>
            <w:tcW w:w="828" w:type="dxa"/>
            <w:noWrap w:val="0"/>
            <w:vAlign w:val="center"/>
          </w:tcPr>
          <w:p w14:paraId="61742D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73" w:type="dxa"/>
            <w:noWrap w:val="0"/>
            <w:vAlign w:val="center"/>
          </w:tcPr>
          <w:p w14:paraId="589371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418" w:type="dxa"/>
            <w:noWrap w:val="0"/>
            <w:vAlign w:val="center"/>
          </w:tcPr>
          <w:p w14:paraId="4A3559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120134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A956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67EF5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2DC0BF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“三查”工作</w:t>
            </w:r>
          </w:p>
        </w:tc>
        <w:tc>
          <w:tcPr>
            <w:tcW w:w="1209" w:type="dxa"/>
            <w:shd w:val="clear" w:color="auto" w:fill="auto"/>
            <w:noWrap w:val="0"/>
            <w:vAlign w:val="center"/>
          </w:tcPr>
          <w:p w14:paraId="5A55B0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汛前排查、汛中巡查、汛后核查3期</w:t>
            </w:r>
          </w:p>
        </w:tc>
        <w:tc>
          <w:tcPr>
            <w:tcW w:w="1134" w:type="dxa"/>
            <w:shd w:val="clear" w:color="auto" w:fill="auto"/>
            <w:noWrap w:val="0"/>
            <w:vAlign w:val="center"/>
          </w:tcPr>
          <w:p w14:paraId="47F9DC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汛前排查、汛中巡查、汛后核查3期</w:t>
            </w:r>
          </w:p>
        </w:tc>
        <w:tc>
          <w:tcPr>
            <w:tcW w:w="828" w:type="dxa"/>
            <w:noWrap w:val="0"/>
            <w:vAlign w:val="center"/>
          </w:tcPr>
          <w:p w14:paraId="56EE86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73" w:type="dxa"/>
            <w:noWrap w:val="0"/>
            <w:vAlign w:val="center"/>
          </w:tcPr>
          <w:p w14:paraId="63EB2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418"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shd w:val="clear" w:color="auto" w:fill="auto"/>
            <w:noWrap w:val="0"/>
            <w:vAlign w:val="center"/>
          </w:tcPr>
          <w:p w14:paraId="109070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地质灾害应急演练、宣传覆盖率</w:t>
            </w:r>
          </w:p>
        </w:tc>
        <w:tc>
          <w:tcPr>
            <w:tcW w:w="1209" w:type="dxa"/>
            <w:shd w:val="clear" w:color="auto" w:fill="auto"/>
            <w:noWrap w:val="0"/>
            <w:vAlign w:val="center"/>
          </w:tcPr>
          <w:p w14:paraId="194F17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2FCBDB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100%</w:t>
            </w:r>
          </w:p>
        </w:tc>
        <w:tc>
          <w:tcPr>
            <w:tcW w:w="828" w:type="dxa"/>
            <w:shd w:val="clear" w:color="auto" w:fill="auto"/>
            <w:noWrap w:val="0"/>
            <w:vAlign w:val="center"/>
          </w:tcPr>
          <w:p w14:paraId="113D00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4</w:t>
            </w:r>
          </w:p>
        </w:tc>
        <w:tc>
          <w:tcPr>
            <w:tcW w:w="873" w:type="dxa"/>
            <w:shd w:val="clear" w:color="auto" w:fill="auto"/>
            <w:noWrap w:val="0"/>
            <w:vAlign w:val="center"/>
          </w:tcPr>
          <w:p w14:paraId="59AEFB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4</w:t>
            </w:r>
          </w:p>
        </w:tc>
        <w:tc>
          <w:tcPr>
            <w:tcW w:w="1418" w:type="dxa"/>
            <w:shd w:val="clear" w:color="auto" w:fill="auto"/>
            <w:noWrap w:val="0"/>
            <w:vAlign w:val="center"/>
          </w:tcPr>
          <w:p w14:paraId="2FACC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72D1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0E3E12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B7E4C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E7950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519E15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监测设备在线率</w:t>
            </w:r>
          </w:p>
        </w:tc>
        <w:tc>
          <w:tcPr>
            <w:tcW w:w="1209" w:type="dxa"/>
            <w:shd w:val="clear" w:color="auto" w:fill="auto"/>
            <w:noWrap w:val="0"/>
            <w:vAlign w:val="center"/>
          </w:tcPr>
          <w:p w14:paraId="179BE9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31CF1A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92%</w:t>
            </w:r>
          </w:p>
        </w:tc>
        <w:tc>
          <w:tcPr>
            <w:tcW w:w="828" w:type="dxa"/>
            <w:shd w:val="clear" w:color="auto" w:fill="auto"/>
            <w:noWrap w:val="0"/>
            <w:vAlign w:val="center"/>
          </w:tcPr>
          <w:p w14:paraId="082FB2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4</w:t>
            </w:r>
          </w:p>
        </w:tc>
        <w:tc>
          <w:tcPr>
            <w:tcW w:w="873" w:type="dxa"/>
            <w:shd w:val="clear" w:color="auto" w:fill="auto"/>
            <w:noWrap w:val="0"/>
            <w:vAlign w:val="center"/>
          </w:tcPr>
          <w:p w14:paraId="081795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4</w:t>
            </w:r>
          </w:p>
        </w:tc>
        <w:tc>
          <w:tcPr>
            <w:tcW w:w="1418" w:type="dxa"/>
            <w:shd w:val="clear" w:color="auto" w:fill="auto"/>
            <w:noWrap w:val="0"/>
            <w:vAlign w:val="center"/>
          </w:tcPr>
          <w:p w14:paraId="4426C7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及时完成情况</w:t>
            </w:r>
          </w:p>
        </w:tc>
        <w:tc>
          <w:tcPr>
            <w:tcW w:w="1209"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2024年12月31日之前</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2024年12月31日之前</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5A7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5ADEAE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最大限度减少灾害损失</w:t>
            </w:r>
          </w:p>
        </w:tc>
        <w:tc>
          <w:tcPr>
            <w:tcW w:w="1209" w:type="dxa"/>
            <w:shd w:val="clear" w:color="auto" w:fill="auto"/>
            <w:noWrap w:val="0"/>
            <w:vAlign w:val="center"/>
          </w:tcPr>
          <w:p w14:paraId="5093FE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243479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效果良好</w:t>
            </w:r>
          </w:p>
        </w:tc>
        <w:tc>
          <w:tcPr>
            <w:tcW w:w="828" w:type="dxa"/>
            <w:shd w:val="clear" w:color="auto" w:fill="auto"/>
            <w:noWrap w:val="0"/>
            <w:vAlign w:val="center"/>
          </w:tcPr>
          <w:p w14:paraId="70A099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247EEE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w:t>
            </w:r>
          </w:p>
        </w:tc>
        <w:tc>
          <w:tcPr>
            <w:tcW w:w="1418" w:type="dxa"/>
            <w:shd w:val="clear" w:color="auto" w:fill="auto"/>
            <w:noWrap w:val="0"/>
            <w:vAlign w:val="center"/>
          </w:tcPr>
          <w:p w14:paraId="7B6FBA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0786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D0BD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8BBB5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7E6D8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29055F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监测预警区地质灾害防范能力</w:t>
            </w:r>
          </w:p>
        </w:tc>
        <w:tc>
          <w:tcPr>
            <w:tcW w:w="1209" w:type="dxa"/>
            <w:shd w:val="clear" w:color="auto" w:fill="auto"/>
            <w:noWrap w:val="0"/>
            <w:vAlign w:val="center"/>
          </w:tcPr>
          <w:p w14:paraId="23BF97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有所提高</w:t>
            </w:r>
          </w:p>
        </w:tc>
        <w:tc>
          <w:tcPr>
            <w:tcW w:w="1134" w:type="dxa"/>
            <w:shd w:val="clear" w:color="auto" w:fill="auto"/>
            <w:noWrap w:val="0"/>
            <w:vAlign w:val="center"/>
          </w:tcPr>
          <w:p w14:paraId="6ABAB5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有所提高</w:t>
            </w:r>
          </w:p>
        </w:tc>
        <w:tc>
          <w:tcPr>
            <w:tcW w:w="828" w:type="dxa"/>
            <w:shd w:val="clear" w:color="auto" w:fill="auto"/>
            <w:noWrap w:val="0"/>
            <w:vAlign w:val="center"/>
          </w:tcPr>
          <w:p w14:paraId="6532A6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2F0458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371FA7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32EE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6F859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4CD0A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9DF40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172E9E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群众防灾避险意识和临灾避险能力</w:t>
            </w:r>
          </w:p>
        </w:tc>
        <w:tc>
          <w:tcPr>
            <w:tcW w:w="1209" w:type="dxa"/>
            <w:shd w:val="clear" w:color="auto" w:fill="auto"/>
            <w:noWrap w:val="0"/>
            <w:vAlign w:val="center"/>
          </w:tcPr>
          <w:p w14:paraId="4D8575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有所提高</w:t>
            </w:r>
          </w:p>
        </w:tc>
        <w:tc>
          <w:tcPr>
            <w:tcW w:w="1134" w:type="dxa"/>
            <w:shd w:val="clear" w:color="auto" w:fill="auto"/>
            <w:noWrap w:val="0"/>
            <w:vAlign w:val="center"/>
          </w:tcPr>
          <w:p w14:paraId="1785AD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有所提高</w:t>
            </w:r>
          </w:p>
        </w:tc>
        <w:tc>
          <w:tcPr>
            <w:tcW w:w="828" w:type="dxa"/>
            <w:shd w:val="clear" w:color="auto" w:fill="auto"/>
            <w:noWrap w:val="0"/>
            <w:vAlign w:val="center"/>
          </w:tcPr>
          <w:p w14:paraId="5A2D95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69EF7C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0430CD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1B422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F6E8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277E1B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工程治理区群众生命财产安全保障</w:t>
            </w:r>
          </w:p>
        </w:tc>
        <w:tc>
          <w:tcPr>
            <w:tcW w:w="1209" w:type="dxa"/>
            <w:shd w:val="clear" w:color="auto" w:fill="auto"/>
            <w:noWrap w:val="0"/>
            <w:vAlign w:val="center"/>
          </w:tcPr>
          <w:p w14:paraId="359B39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有所提升</w:t>
            </w:r>
          </w:p>
        </w:tc>
        <w:tc>
          <w:tcPr>
            <w:tcW w:w="1134" w:type="dxa"/>
            <w:shd w:val="clear" w:color="auto" w:fill="auto"/>
            <w:noWrap w:val="0"/>
            <w:vAlign w:val="center"/>
          </w:tcPr>
          <w:p w14:paraId="75905C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有所提升</w:t>
            </w:r>
          </w:p>
        </w:tc>
        <w:tc>
          <w:tcPr>
            <w:tcW w:w="828" w:type="dxa"/>
            <w:shd w:val="clear" w:color="auto" w:fill="auto"/>
            <w:noWrap w:val="0"/>
            <w:vAlign w:val="center"/>
          </w:tcPr>
          <w:p w14:paraId="4DF34F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71ED0F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2D23D6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2A06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097FA5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推进全市地质灾害防治发展和生态保护修复</w:t>
            </w:r>
          </w:p>
        </w:tc>
        <w:tc>
          <w:tcPr>
            <w:tcW w:w="1209" w:type="dxa"/>
            <w:shd w:val="clear" w:color="auto" w:fill="auto"/>
            <w:noWrap w:val="0"/>
            <w:vAlign w:val="center"/>
          </w:tcPr>
          <w:p w14:paraId="1F5702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77A349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3635D09A">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261329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0043A5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793351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推动全市地质灾害防治、矿产资源可持续发展</w:t>
            </w:r>
          </w:p>
        </w:tc>
        <w:tc>
          <w:tcPr>
            <w:tcW w:w="1209" w:type="dxa"/>
            <w:shd w:val="clear" w:color="auto" w:fill="auto"/>
            <w:noWrap w:val="0"/>
            <w:vAlign w:val="center"/>
          </w:tcPr>
          <w:p w14:paraId="064DAD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66CD10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1C5C1E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124311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6B1F65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shd w:val="clear" w:color="auto" w:fill="auto"/>
            <w:noWrap w:val="0"/>
            <w:vAlign w:val="center"/>
          </w:tcPr>
          <w:p w14:paraId="7CE7ED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社会公众满意度</w:t>
            </w:r>
          </w:p>
        </w:tc>
        <w:tc>
          <w:tcPr>
            <w:tcW w:w="1209" w:type="dxa"/>
            <w:shd w:val="clear" w:color="auto" w:fill="auto"/>
            <w:noWrap w:val="0"/>
            <w:vAlign w:val="center"/>
          </w:tcPr>
          <w:p w14:paraId="458E70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4405DE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95%</w:t>
            </w:r>
          </w:p>
        </w:tc>
        <w:tc>
          <w:tcPr>
            <w:tcW w:w="828" w:type="dxa"/>
            <w:shd w:val="clear" w:color="auto" w:fill="auto"/>
            <w:noWrap w:val="0"/>
            <w:vAlign w:val="center"/>
          </w:tcPr>
          <w:p w14:paraId="6F9D3A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3C4491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6ECCFD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w:t>
            </w:r>
          </w:p>
        </w:tc>
        <w:tc>
          <w:tcPr>
            <w:tcW w:w="1418"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3FB15A8">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李洪妮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2025.6.4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：15307455303</w:t>
      </w:r>
    </w:p>
    <w:p w14:paraId="51B53D3C">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76BC3942">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45C91468">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2B16D321">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6AF9631A">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p>
    <w:p w14:paraId="60DB74B4">
      <w:pPr>
        <w:pStyle w:val="12"/>
        <w:rPr>
          <w:rFonts w:hint="eastAsia" w:ascii="Times New Roman" w:hAnsi="Times New Roman" w:eastAsia="仿宋_GB2312" w:cs="Times New Roman"/>
          <w:snapToGrid/>
          <w:color w:val="000000"/>
          <w:kern w:val="0"/>
          <w:sz w:val="24"/>
          <w:szCs w:val="24"/>
          <w:lang w:val="en-US" w:eastAsia="zh-CN" w:bidi="ar-SA"/>
        </w:rPr>
      </w:pPr>
    </w:p>
    <w:p w14:paraId="7E705C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附件3-2</w:t>
      </w:r>
    </w:p>
    <w:p w14:paraId="790A83A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5062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3385E3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49C615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2F1F7E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湘财资环指〔2022〕80号2023年省级自然资源专项资金</w:t>
            </w:r>
          </w:p>
        </w:tc>
      </w:tr>
      <w:tr w14:paraId="4DE9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6470FD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57C526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怀化市自然资源和规划局</w:t>
            </w:r>
          </w:p>
        </w:tc>
        <w:tc>
          <w:tcPr>
            <w:tcW w:w="1134" w:type="dxa"/>
            <w:noWrap w:val="0"/>
            <w:vAlign w:val="center"/>
          </w:tcPr>
          <w:p w14:paraId="410AD1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412801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怀化市地质灾害防治中心</w:t>
            </w:r>
          </w:p>
        </w:tc>
      </w:tr>
      <w:tr w14:paraId="4608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638380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1F2473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2805E7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7CC3FE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54A4E2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111CDD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03E642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D0948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186BEA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14353D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6EB3BA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738E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A64A7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6B478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683C22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319B15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4" w:type="dxa"/>
            <w:noWrap w:val="0"/>
            <w:vAlign w:val="center"/>
          </w:tcPr>
          <w:p w14:paraId="7F7A90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28" w:type="dxa"/>
            <w:noWrap w:val="0"/>
            <w:vAlign w:val="center"/>
          </w:tcPr>
          <w:p w14:paraId="6DD5E6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65B690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7C3D7D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1F47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43AEC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2485C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2D69AB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6E1880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34" w:type="dxa"/>
            <w:noWrap w:val="0"/>
            <w:vAlign w:val="center"/>
          </w:tcPr>
          <w:p w14:paraId="218D67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28" w:type="dxa"/>
            <w:noWrap w:val="0"/>
            <w:vAlign w:val="center"/>
          </w:tcPr>
          <w:p w14:paraId="30D80C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5B4126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E704C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1E21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9601A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78EFA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0AE601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686568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3F0D7B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6C7822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D1F6D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9738B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697F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AE4D6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55F551C">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24C5D0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111FBB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1DA54C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0F5087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A2186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1B94EA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655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728D52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454ECA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5CED73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5038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40B6C3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4B3F46AB">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w:t>
            </w:r>
            <w:r>
              <w:rPr>
                <w:rFonts w:hint="eastAsia" w:ascii="仿宋" w:hAnsi="仿宋" w:eastAsia="仿宋" w:cs="仿宋"/>
                <w:color w:val="000000"/>
                <w:kern w:val="0"/>
                <w:sz w:val="20"/>
                <w:szCs w:val="20"/>
              </w:rPr>
              <w:t>辖区内地下水监测站点运行维护：掌握辖区内各级地下水监测点基本情况，确保各监测点正常运行，落实各监测点维护责任人；开展水位水温监测数据采集传输；监测站点与设备野外运行维护检测工作。</w:t>
            </w:r>
          </w:p>
          <w:p w14:paraId="252719C2">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地下水质监测样品采集运输：开展辖区内各级监测点丰水期和枯水期水质取样送检工作。</w:t>
            </w:r>
          </w:p>
          <w:p w14:paraId="38A65916">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数据审校与整编：及时对采集或测试的监测点数据及已有水文地质资料进行审校整编工作；</w:t>
            </w:r>
          </w:p>
          <w:p w14:paraId="3164D3F5">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rPr>
              <w:t>综合研究：总结每月、季度、半年、年度地下水监测成果，编制相关报表。</w:t>
            </w:r>
          </w:p>
        </w:tc>
        <w:tc>
          <w:tcPr>
            <w:tcW w:w="4253" w:type="dxa"/>
            <w:gridSpan w:val="4"/>
            <w:noWrap w:val="0"/>
            <w:vAlign w:val="center"/>
          </w:tcPr>
          <w:p w14:paraId="2BF15D2F">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w:t>
            </w:r>
            <w:r>
              <w:rPr>
                <w:rFonts w:hint="eastAsia" w:ascii="仿宋" w:hAnsi="仿宋" w:eastAsia="仿宋" w:cs="仿宋"/>
                <w:color w:val="000000"/>
                <w:kern w:val="0"/>
                <w:sz w:val="20"/>
                <w:szCs w:val="20"/>
                <w:lang w:eastAsia="zh-CN"/>
              </w:rPr>
              <w:t>监测站点看护与巡查：完成怀化市辖区7个监测站点看护人协议签订及支付看护费；全年共对监测点系统巡查巡查2次。</w:t>
            </w:r>
          </w:p>
          <w:p w14:paraId="2723D570">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lang w:eastAsia="zh-CN"/>
              </w:rPr>
              <w:t>辅助设施维护与维修：对7个监测站点保护装置刷漆、打孔排水、清理标识牌、连接件涂抹黄油、对芷江镇下菜园431228210154监测站点重修水泥基台。</w:t>
            </w:r>
          </w:p>
          <w:p w14:paraId="11B483B0">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lang w:eastAsia="zh-CN"/>
              </w:rPr>
              <w:t>监测井维护与重建：本年度监测井维护主要为7个监测站点井水位校测、井深校测，对淤积深度超标的进行洗井清淤工作。</w:t>
            </w:r>
          </w:p>
          <w:p w14:paraId="42CE2F6D">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lang w:eastAsia="zh-CN"/>
              </w:rPr>
              <w:t>监测设备维护与维修：7个监测设备水位校测、更换电池，对五参数仪器进行了维修，更换了溶解样帽。</w:t>
            </w:r>
          </w:p>
          <w:p w14:paraId="4399D33A">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lang w:eastAsia="zh-CN"/>
              </w:rPr>
              <w:t>水质监测样品采集：完成怀化市辖区丰水期7个监测站点（今年南方干旱，丰水期基本处于枯水状态）样品采集及现场五参数测试，丰水期每个站点采集2500ml，现场五参数测试共38次。</w:t>
            </w:r>
          </w:p>
          <w:p w14:paraId="1826CFAE">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6.</w:t>
            </w:r>
            <w:r>
              <w:rPr>
                <w:rFonts w:hint="eastAsia" w:ascii="仿宋" w:hAnsi="仿宋" w:eastAsia="仿宋" w:cs="仿宋"/>
                <w:color w:val="000000"/>
                <w:kern w:val="0"/>
                <w:sz w:val="20"/>
                <w:szCs w:val="20"/>
                <w:lang w:eastAsia="zh-CN"/>
              </w:rPr>
              <w:t>样品保存：购买冷藏箱4个，从样品采集完成开始至送检到实验室全程低温保存；设置单独样品保存室，保证样品不受污染。</w:t>
            </w:r>
          </w:p>
          <w:p w14:paraId="4B33E9DF">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7.</w:t>
            </w:r>
            <w:r>
              <w:rPr>
                <w:rFonts w:hint="eastAsia" w:ascii="仿宋" w:hAnsi="仿宋" w:eastAsia="仿宋" w:cs="仿宋"/>
                <w:color w:val="000000"/>
                <w:kern w:val="0"/>
                <w:sz w:val="20"/>
                <w:szCs w:val="20"/>
                <w:lang w:eastAsia="zh-CN"/>
              </w:rPr>
              <w:t>样品送检：完成怀化市丰水期7个监测站点（今年南方干旱，丰水期基本处于枯水状态）样品送检工作。</w:t>
            </w:r>
          </w:p>
          <w:p w14:paraId="2DF3ED88">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8.</w:t>
            </w:r>
            <w:r>
              <w:rPr>
                <w:rFonts w:hint="eastAsia" w:ascii="仿宋" w:hAnsi="仿宋" w:eastAsia="仿宋" w:cs="仿宋"/>
                <w:color w:val="000000"/>
                <w:kern w:val="0"/>
                <w:sz w:val="20"/>
                <w:szCs w:val="20"/>
                <w:lang w:eastAsia="zh-CN"/>
              </w:rPr>
              <w:t>数据整编校核：完成2022年12月-2023年12月数据整编校核工作。</w:t>
            </w:r>
          </w:p>
          <w:p w14:paraId="02BD1B7A">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9.</w:t>
            </w:r>
            <w:r>
              <w:rPr>
                <w:rFonts w:hint="eastAsia" w:ascii="仿宋" w:hAnsi="仿宋" w:eastAsia="仿宋" w:cs="仿宋"/>
                <w:color w:val="000000"/>
                <w:kern w:val="0"/>
                <w:sz w:val="20"/>
                <w:szCs w:val="20"/>
                <w:lang w:eastAsia="zh-CN"/>
              </w:rPr>
              <w:t>综合研究：采用单指标评价及综合评价方式对怀化市7个监测站点丰水期水质进行评</w:t>
            </w:r>
          </w:p>
          <w:p w14:paraId="6D5E20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价，并完成《地下水运行维护与水质监测成果报告》编制。</w:t>
            </w:r>
          </w:p>
        </w:tc>
      </w:tr>
      <w:tr w14:paraId="0159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4A007B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CB4D2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47030D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7E343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8A5EC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294B71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3CB65D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437DCA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B8C23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341F09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6A2AF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29156E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3F0908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2EDA90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2CF09A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0BD95D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C88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277981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232CF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68F4B8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66CCAD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56E8E4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≤10万元</w:t>
            </w:r>
          </w:p>
        </w:tc>
        <w:tc>
          <w:tcPr>
            <w:tcW w:w="1134" w:type="dxa"/>
            <w:noWrap w:val="0"/>
            <w:vAlign w:val="center"/>
          </w:tcPr>
          <w:p w14:paraId="29E103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10万元</w:t>
            </w:r>
          </w:p>
        </w:tc>
        <w:tc>
          <w:tcPr>
            <w:tcW w:w="828" w:type="dxa"/>
            <w:noWrap w:val="0"/>
            <w:vAlign w:val="center"/>
          </w:tcPr>
          <w:p w14:paraId="102823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548D7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01E8A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D0E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3DD23C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92E4D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150A95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91519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52B70D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0692C4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1F2B52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5B82D9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D9160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2A2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4CE345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6C3DA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49614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0D78D1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1209" w:type="dxa"/>
            <w:shd w:val="clear" w:color="auto" w:fill="auto"/>
            <w:noWrap w:val="0"/>
            <w:vAlign w:val="center"/>
          </w:tcPr>
          <w:p w14:paraId="3AD219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134" w:type="dxa"/>
            <w:shd w:val="clear" w:color="auto" w:fill="auto"/>
            <w:noWrap w:val="0"/>
            <w:vAlign w:val="center"/>
          </w:tcPr>
          <w:p w14:paraId="3EDC1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828" w:type="dxa"/>
            <w:noWrap w:val="0"/>
            <w:vAlign w:val="center"/>
          </w:tcPr>
          <w:p w14:paraId="5201AD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1BAD7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4C2D16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41E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2E6CD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03DE7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84B49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restart"/>
            <w:noWrap w:val="0"/>
            <w:vAlign w:val="center"/>
          </w:tcPr>
          <w:p w14:paraId="5003CB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6A3C69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地下水监测站点</w:t>
            </w:r>
          </w:p>
        </w:tc>
        <w:tc>
          <w:tcPr>
            <w:tcW w:w="1209" w:type="dxa"/>
            <w:shd w:val="clear" w:color="auto" w:fill="auto"/>
            <w:noWrap w:val="0"/>
            <w:vAlign w:val="center"/>
          </w:tcPr>
          <w:p w14:paraId="7D7760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7个</w:t>
            </w:r>
          </w:p>
        </w:tc>
        <w:tc>
          <w:tcPr>
            <w:tcW w:w="1134" w:type="dxa"/>
            <w:shd w:val="clear" w:color="auto" w:fill="auto"/>
            <w:noWrap w:val="0"/>
            <w:vAlign w:val="center"/>
          </w:tcPr>
          <w:p w14:paraId="69E06D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7个</w:t>
            </w:r>
          </w:p>
        </w:tc>
        <w:tc>
          <w:tcPr>
            <w:tcW w:w="828" w:type="dxa"/>
            <w:noWrap w:val="0"/>
            <w:vAlign w:val="center"/>
          </w:tcPr>
          <w:p w14:paraId="605B6E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873" w:type="dxa"/>
            <w:noWrap w:val="0"/>
            <w:vAlign w:val="center"/>
          </w:tcPr>
          <w:p w14:paraId="66B469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418" w:type="dxa"/>
            <w:noWrap w:val="0"/>
            <w:vAlign w:val="center"/>
          </w:tcPr>
          <w:p w14:paraId="65B8BA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A2E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518E4A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A99E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49133E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2D7F0E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监测点系统巡查</w:t>
            </w:r>
          </w:p>
        </w:tc>
        <w:tc>
          <w:tcPr>
            <w:tcW w:w="1209" w:type="dxa"/>
            <w:shd w:val="clear" w:color="auto" w:fill="auto"/>
            <w:noWrap w:val="0"/>
            <w:vAlign w:val="center"/>
          </w:tcPr>
          <w:p w14:paraId="16B118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2次</w:t>
            </w:r>
          </w:p>
        </w:tc>
        <w:tc>
          <w:tcPr>
            <w:tcW w:w="1134" w:type="dxa"/>
            <w:shd w:val="clear" w:color="auto" w:fill="auto"/>
            <w:noWrap w:val="0"/>
            <w:vAlign w:val="center"/>
          </w:tcPr>
          <w:p w14:paraId="24A583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2次</w:t>
            </w:r>
          </w:p>
        </w:tc>
        <w:tc>
          <w:tcPr>
            <w:tcW w:w="828" w:type="dxa"/>
            <w:noWrap w:val="0"/>
            <w:vAlign w:val="center"/>
          </w:tcPr>
          <w:p w14:paraId="352E15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873" w:type="dxa"/>
            <w:noWrap w:val="0"/>
            <w:vAlign w:val="center"/>
          </w:tcPr>
          <w:p w14:paraId="7DE24C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w:t>
            </w:r>
          </w:p>
        </w:tc>
        <w:tc>
          <w:tcPr>
            <w:tcW w:w="1418" w:type="dxa"/>
            <w:noWrap w:val="0"/>
            <w:vAlign w:val="center"/>
          </w:tcPr>
          <w:p w14:paraId="685011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00F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6D851D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F1C4F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4896DC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4C5853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项目成果报告</w:t>
            </w:r>
          </w:p>
        </w:tc>
        <w:tc>
          <w:tcPr>
            <w:tcW w:w="1209" w:type="dxa"/>
            <w:shd w:val="clear" w:color="auto" w:fill="auto"/>
            <w:noWrap w:val="0"/>
            <w:vAlign w:val="center"/>
          </w:tcPr>
          <w:p w14:paraId="56E3CC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1份</w:t>
            </w:r>
          </w:p>
        </w:tc>
        <w:tc>
          <w:tcPr>
            <w:tcW w:w="1134" w:type="dxa"/>
            <w:shd w:val="clear" w:color="auto" w:fill="auto"/>
            <w:noWrap w:val="0"/>
            <w:vAlign w:val="center"/>
          </w:tcPr>
          <w:p w14:paraId="1B727C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1份</w:t>
            </w:r>
          </w:p>
        </w:tc>
        <w:tc>
          <w:tcPr>
            <w:tcW w:w="828" w:type="dxa"/>
            <w:noWrap w:val="0"/>
            <w:vAlign w:val="center"/>
          </w:tcPr>
          <w:p w14:paraId="046D1A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73" w:type="dxa"/>
            <w:noWrap w:val="0"/>
            <w:vAlign w:val="center"/>
          </w:tcPr>
          <w:p w14:paraId="1320C3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418" w:type="dxa"/>
            <w:noWrap w:val="0"/>
            <w:vAlign w:val="center"/>
          </w:tcPr>
          <w:p w14:paraId="61BB92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781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599F82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9CE2A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F43BE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shd w:val="clear" w:color="auto" w:fill="auto"/>
            <w:noWrap w:val="0"/>
            <w:vAlign w:val="center"/>
          </w:tcPr>
          <w:p w14:paraId="34B754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维修维护完成率</w:t>
            </w:r>
          </w:p>
        </w:tc>
        <w:tc>
          <w:tcPr>
            <w:tcW w:w="1209" w:type="dxa"/>
            <w:shd w:val="clear" w:color="auto" w:fill="auto"/>
            <w:noWrap w:val="0"/>
            <w:vAlign w:val="center"/>
          </w:tcPr>
          <w:p w14:paraId="2D872E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shd w:val="clear" w:color="auto" w:fill="auto"/>
            <w:noWrap w:val="0"/>
            <w:vAlign w:val="center"/>
          </w:tcPr>
          <w:p w14:paraId="768A64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shd w:val="clear" w:color="auto" w:fill="auto"/>
            <w:noWrap w:val="0"/>
            <w:vAlign w:val="center"/>
          </w:tcPr>
          <w:p w14:paraId="72E709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4119D9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2F1C36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5453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710079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7C807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F74F4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37530D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成果报告评审</w:t>
            </w:r>
          </w:p>
        </w:tc>
        <w:tc>
          <w:tcPr>
            <w:tcW w:w="1209" w:type="dxa"/>
            <w:shd w:val="clear" w:color="auto" w:fill="auto"/>
            <w:noWrap w:val="0"/>
            <w:vAlign w:val="center"/>
          </w:tcPr>
          <w:p w14:paraId="270585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合格</w:t>
            </w:r>
          </w:p>
        </w:tc>
        <w:tc>
          <w:tcPr>
            <w:tcW w:w="1134" w:type="dxa"/>
            <w:shd w:val="clear" w:color="auto" w:fill="auto"/>
            <w:noWrap w:val="0"/>
            <w:vAlign w:val="center"/>
          </w:tcPr>
          <w:p w14:paraId="3A34AF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合格</w:t>
            </w:r>
          </w:p>
        </w:tc>
        <w:tc>
          <w:tcPr>
            <w:tcW w:w="828" w:type="dxa"/>
            <w:shd w:val="clear" w:color="auto" w:fill="auto"/>
            <w:noWrap w:val="0"/>
            <w:vAlign w:val="center"/>
          </w:tcPr>
          <w:p w14:paraId="21852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08CAB9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0D947B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7657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676E2F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220DE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2686B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4A457E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及时完成情况</w:t>
            </w:r>
          </w:p>
        </w:tc>
        <w:tc>
          <w:tcPr>
            <w:tcW w:w="1209" w:type="dxa"/>
            <w:noWrap w:val="0"/>
            <w:vAlign w:val="center"/>
          </w:tcPr>
          <w:p w14:paraId="258F9E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2024年12月31日之前</w:t>
            </w:r>
          </w:p>
        </w:tc>
        <w:tc>
          <w:tcPr>
            <w:tcW w:w="1134" w:type="dxa"/>
            <w:noWrap w:val="0"/>
            <w:vAlign w:val="center"/>
          </w:tcPr>
          <w:p w14:paraId="41E557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2024年12月31日之前</w:t>
            </w:r>
          </w:p>
        </w:tc>
        <w:tc>
          <w:tcPr>
            <w:tcW w:w="828" w:type="dxa"/>
            <w:noWrap w:val="0"/>
            <w:vAlign w:val="center"/>
          </w:tcPr>
          <w:p w14:paraId="162247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2AADA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08B37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417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72986C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94C18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4E679A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3C499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78727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204183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不适用</w:t>
            </w:r>
          </w:p>
        </w:tc>
        <w:tc>
          <w:tcPr>
            <w:tcW w:w="1209" w:type="dxa"/>
            <w:shd w:val="clear" w:color="auto" w:fill="auto"/>
            <w:noWrap w:val="0"/>
            <w:vAlign w:val="center"/>
          </w:tcPr>
          <w:p w14:paraId="6150DF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3C0C8F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0F7C12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036679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08160D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693C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BA625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ABD8E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B3DAD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64C70A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5F699F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提高</w:t>
            </w:r>
            <w:r>
              <w:rPr>
                <w:rFonts w:hint="eastAsia" w:ascii="仿宋" w:hAnsi="仿宋" w:eastAsia="仿宋" w:cs="仿宋"/>
                <w:color w:val="000000"/>
                <w:kern w:val="0"/>
                <w:sz w:val="20"/>
                <w:szCs w:val="20"/>
                <w:lang w:val="en-US" w:eastAsia="zh-CN"/>
              </w:rPr>
              <w:t>怀化市地下水资源环境</w:t>
            </w:r>
            <w:r>
              <w:rPr>
                <w:rFonts w:hint="eastAsia" w:ascii="仿宋" w:hAnsi="仿宋" w:eastAsia="仿宋" w:cs="仿宋"/>
                <w:color w:val="000000"/>
                <w:kern w:val="0"/>
                <w:sz w:val="20"/>
                <w:szCs w:val="20"/>
              </w:rPr>
              <w:t>监测水平</w:t>
            </w:r>
          </w:p>
        </w:tc>
        <w:tc>
          <w:tcPr>
            <w:tcW w:w="1209" w:type="dxa"/>
            <w:shd w:val="clear" w:color="auto" w:fill="auto"/>
            <w:noWrap w:val="0"/>
            <w:vAlign w:val="center"/>
          </w:tcPr>
          <w:p w14:paraId="222445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122CC9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效果良好</w:t>
            </w:r>
          </w:p>
        </w:tc>
        <w:tc>
          <w:tcPr>
            <w:tcW w:w="828" w:type="dxa"/>
            <w:shd w:val="clear" w:color="auto" w:fill="auto"/>
            <w:noWrap w:val="0"/>
            <w:vAlign w:val="center"/>
          </w:tcPr>
          <w:p w14:paraId="21D7BF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25FF7D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8</w:t>
            </w:r>
          </w:p>
        </w:tc>
        <w:tc>
          <w:tcPr>
            <w:tcW w:w="1418" w:type="dxa"/>
            <w:shd w:val="clear" w:color="auto" w:fill="auto"/>
            <w:noWrap w:val="0"/>
            <w:vAlign w:val="center"/>
          </w:tcPr>
          <w:p w14:paraId="1C8EDE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319A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BC1B7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4E347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2065D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167DA4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准确、完整的监测数据为</w:t>
            </w:r>
            <w:r>
              <w:rPr>
                <w:rFonts w:hint="eastAsia" w:ascii="仿宋" w:hAnsi="仿宋" w:eastAsia="仿宋" w:cs="仿宋"/>
                <w:color w:val="000000"/>
                <w:kern w:val="0"/>
                <w:sz w:val="20"/>
                <w:szCs w:val="20"/>
                <w:lang w:val="en-US" w:eastAsia="zh-CN"/>
              </w:rPr>
              <w:t>各级政府部门</w:t>
            </w:r>
            <w:r>
              <w:rPr>
                <w:rFonts w:hint="eastAsia" w:ascii="仿宋" w:hAnsi="仿宋" w:eastAsia="仿宋" w:cs="仿宋"/>
                <w:color w:val="000000"/>
                <w:kern w:val="0"/>
                <w:sz w:val="20"/>
                <w:szCs w:val="20"/>
              </w:rPr>
              <w:t>相关决策工作提供长期的参考和依</w:t>
            </w:r>
          </w:p>
          <w:p w14:paraId="1343A5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据</w:t>
            </w:r>
          </w:p>
        </w:tc>
        <w:tc>
          <w:tcPr>
            <w:tcW w:w="1209" w:type="dxa"/>
            <w:shd w:val="clear" w:color="auto" w:fill="auto"/>
            <w:noWrap w:val="0"/>
            <w:vAlign w:val="center"/>
          </w:tcPr>
          <w:p w14:paraId="19D011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0C9EE1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效果良好</w:t>
            </w:r>
          </w:p>
        </w:tc>
        <w:tc>
          <w:tcPr>
            <w:tcW w:w="828" w:type="dxa"/>
            <w:shd w:val="clear" w:color="auto" w:fill="auto"/>
            <w:noWrap w:val="0"/>
            <w:vAlign w:val="center"/>
          </w:tcPr>
          <w:p w14:paraId="399B0E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4C424B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8</w:t>
            </w:r>
          </w:p>
        </w:tc>
        <w:tc>
          <w:tcPr>
            <w:tcW w:w="1418" w:type="dxa"/>
            <w:shd w:val="clear" w:color="auto" w:fill="auto"/>
            <w:noWrap w:val="0"/>
            <w:vAlign w:val="center"/>
          </w:tcPr>
          <w:p w14:paraId="739A65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54F3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3F73EA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ECD27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3B63A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781F3B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3C993E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为地质灾害防治和</w:t>
            </w:r>
            <w:r>
              <w:rPr>
                <w:rFonts w:hint="eastAsia" w:ascii="仿宋" w:hAnsi="仿宋" w:eastAsia="仿宋" w:cs="仿宋"/>
                <w:color w:val="000000"/>
                <w:kern w:val="0"/>
                <w:sz w:val="20"/>
                <w:szCs w:val="20"/>
                <w:lang w:val="en-US" w:eastAsia="zh-CN"/>
              </w:rPr>
              <w:t>生态</w:t>
            </w:r>
            <w:r>
              <w:rPr>
                <w:rFonts w:hint="eastAsia" w:ascii="仿宋" w:hAnsi="仿宋" w:eastAsia="仿宋" w:cs="仿宋"/>
                <w:color w:val="000000"/>
                <w:kern w:val="0"/>
                <w:sz w:val="20"/>
                <w:szCs w:val="20"/>
              </w:rPr>
              <w:t>环境保护提供技术、数据支撑</w:t>
            </w:r>
          </w:p>
        </w:tc>
        <w:tc>
          <w:tcPr>
            <w:tcW w:w="1209" w:type="dxa"/>
            <w:shd w:val="clear" w:color="auto" w:fill="auto"/>
            <w:noWrap w:val="0"/>
            <w:vAlign w:val="center"/>
          </w:tcPr>
          <w:p w14:paraId="6D40BF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4ACB02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3812CC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2BD54F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317704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10BE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F4495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096BCB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C32A8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0EF212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不适用</w:t>
            </w:r>
          </w:p>
        </w:tc>
        <w:tc>
          <w:tcPr>
            <w:tcW w:w="1209" w:type="dxa"/>
            <w:shd w:val="clear" w:color="auto" w:fill="auto"/>
            <w:noWrap w:val="0"/>
            <w:vAlign w:val="center"/>
          </w:tcPr>
          <w:p w14:paraId="5D7D63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71259D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48D5D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3DF20C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4A1C58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0F8F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350517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3FA50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3E6C7D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6C6A38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2B74A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shd w:val="clear" w:color="auto" w:fill="auto"/>
            <w:noWrap w:val="0"/>
            <w:vAlign w:val="center"/>
          </w:tcPr>
          <w:p w14:paraId="23B67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使用人员满意度</w:t>
            </w:r>
          </w:p>
        </w:tc>
        <w:tc>
          <w:tcPr>
            <w:tcW w:w="1209" w:type="dxa"/>
            <w:shd w:val="clear" w:color="auto" w:fill="auto"/>
            <w:noWrap w:val="0"/>
            <w:vAlign w:val="center"/>
          </w:tcPr>
          <w:p w14:paraId="4840DB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≥90%</w:t>
            </w:r>
          </w:p>
        </w:tc>
        <w:tc>
          <w:tcPr>
            <w:tcW w:w="1134" w:type="dxa"/>
            <w:shd w:val="clear" w:color="auto" w:fill="auto"/>
            <w:noWrap w:val="0"/>
            <w:vAlign w:val="center"/>
          </w:tcPr>
          <w:p w14:paraId="39F209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95%</w:t>
            </w:r>
          </w:p>
        </w:tc>
        <w:tc>
          <w:tcPr>
            <w:tcW w:w="828" w:type="dxa"/>
            <w:shd w:val="clear" w:color="auto" w:fill="auto"/>
            <w:noWrap w:val="0"/>
            <w:vAlign w:val="center"/>
          </w:tcPr>
          <w:p w14:paraId="29BBF5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4B7F10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6DD0C4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64C9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C2FC5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585251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421178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96</w:t>
            </w:r>
          </w:p>
        </w:tc>
        <w:tc>
          <w:tcPr>
            <w:tcW w:w="1418" w:type="dxa"/>
            <w:noWrap w:val="0"/>
            <w:vAlign w:val="center"/>
          </w:tcPr>
          <w:p w14:paraId="33CF43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2CB3D79F">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李洪妮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2025.6.4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：15307455303</w:t>
      </w:r>
    </w:p>
    <w:p w14:paraId="7FD838AC">
      <w:pPr>
        <w:pStyle w:val="12"/>
        <w:ind w:left="0" w:leftChars="0" w:firstLine="0" w:firstLineChars="0"/>
        <w:rPr>
          <w:rFonts w:hint="eastAsia" w:ascii="Times New Roman" w:hAnsi="Times New Roman" w:eastAsia="仿宋_GB2312" w:cs="Times New Roman"/>
          <w:snapToGrid/>
          <w:color w:val="000000"/>
          <w:kern w:val="0"/>
          <w:sz w:val="24"/>
          <w:szCs w:val="24"/>
          <w:lang w:val="en-US" w:eastAsia="zh-CN" w:bidi="ar-SA"/>
        </w:rPr>
      </w:pPr>
    </w:p>
    <w:p w14:paraId="08792820">
      <w:pPr>
        <w:pStyle w:val="12"/>
        <w:rPr>
          <w:rFonts w:hint="eastAsia" w:ascii="Times New Roman" w:hAnsi="Times New Roman" w:eastAsia="仿宋_GB2312" w:cs="Times New Roman"/>
          <w:snapToGrid/>
          <w:color w:val="000000"/>
          <w:kern w:val="0"/>
          <w:sz w:val="24"/>
          <w:szCs w:val="24"/>
          <w:lang w:val="en-US" w:eastAsia="zh-CN" w:bidi="ar-SA"/>
        </w:rPr>
      </w:pPr>
    </w:p>
    <w:p w14:paraId="7C3C270F">
      <w:pPr>
        <w:pStyle w:val="12"/>
        <w:rPr>
          <w:rFonts w:hint="eastAsia" w:ascii="Times New Roman" w:hAnsi="Times New Roman" w:eastAsia="仿宋_GB2312" w:cs="Times New Roman"/>
          <w:snapToGrid/>
          <w:color w:val="000000"/>
          <w:kern w:val="0"/>
          <w:sz w:val="24"/>
          <w:szCs w:val="24"/>
          <w:lang w:val="en-US" w:eastAsia="zh-CN" w:bidi="ar-SA"/>
        </w:rPr>
      </w:pPr>
    </w:p>
    <w:p w14:paraId="0A0452C0">
      <w:pPr>
        <w:pStyle w:val="12"/>
        <w:rPr>
          <w:rFonts w:hint="eastAsia" w:ascii="Times New Roman" w:hAnsi="Times New Roman" w:eastAsia="仿宋_GB2312" w:cs="Times New Roman"/>
          <w:snapToGrid/>
          <w:color w:val="000000"/>
          <w:kern w:val="0"/>
          <w:sz w:val="24"/>
          <w:szCs w:val="24"/>
          <w:lang w:val="en-US" w:eastAsia="zh-CN" w:bidi="ar-SA"/>
        </w:rPr>
      </w:pPr>
    </w:p>
    <w:p w14:paraId="6BB06C05">
      <w:pPr>
        <w:pStyle w:val="12"/>
        <w:rPr>
          <w:rFonts w:hint="eastAsia" w:ascii="Times New Roman" w:hAnsi="Times New Roman" w:eastAsia="仿宋_GB2312" w:cs="Times New Roman"/>
          <w:snapToGrid/>
          <w:color w:val="000000"/>
          <w:kern w:val="0"/>
          <w:sz w:val="24"/>
          <w:szCs w:val="24"/>
          <w:lang w:val="en-US" w:eastAsia="zh-CN" w:bidi="ar-SA"/>
        </w:rPr>
      </w:pPr>
    </w:p>
    <w:p w14:paraId="697BCD19">
      <w:pPr>
        <w:pStyle w:val="12"/>
        <w:rPr>
          <w:rFonts w:hint="eastAsia" w:ascii="Times New Roman" w:hAnsi="Times New Roman" w:eastAsia="仿宋_GB2312" w:cs="Times New Roman"/>
          <w:snapToGrid/>
          <w:color w:val="000000"/>
          <w:kern w:val="0"/>
          <w:sz w:val="24"/>
          <w:szCs w:val="24"/>
          <w:lang w:val="en-US" w:eastAsia="zh-CN" w:bidi="ar-SA"/>
        </w:rPr>
      </w:pPr>
    </w:p>
    <w:p w14:paraId="3F97962A">
      <w:pPr>
        <w:pStyle w:val="12"/>
        <w:rPr>
          <w:rFonts w:hint="eastAsia" w:ascii="Times New Roman" w:hAnsi="Times New Roman" w:eastAsia="仿宋_GB2312" w:cs="Times New Roman"/>
          <w:snapToGrid/>
          <w:color w:val="000000"/>
          <w:kern w:val="0"/>
          <w:sz w:val="24"/>
          <w:szCs w:val="24"/>
          <w:lang w:val="en-US" w:eastAsia="zh-CN" w:bidi="ar-SA"/>
        </w:rPr>
      </w:pPr>
    </w:p>
    <w:p w14:paraId="435D82CC">
      <w:pPr>
        <w:pStyle w:val="12"/>
        <w:rPr>
          <w:rFonts w:hint="eastAsia" w:ascii="Times New Roman" w:hAnsi="Times New Roman" w:eastAsia="仿宋_GB2312" w:cs="Times New Roman"/>
          <w:snapToGrid/>
          <w:color w:val="000000"/>
          <w:kern w:val="0"/>
          <w:sz w:val="24"/>
          <w:szCs w:val="24"/>
          <w:lang w:val="en-US" w:eastAsia="zh-CN" w:bidi="ar-SA"/>
        </w:rPr>
      </w:pPr>
    </w:p>
    <w:p w14:paraId="30620DBA">
      <w:pPr>
        <w:pStyle w:val="12"/>
        <w:rPr>
          <w:rFonts w:hint="eastAsia" w:ascii="Times New Roman" w:hAnsi="Times New Roman" w:eastAsia="仿宋_GB2312" w:cs="Times New Roman"/>
          <w:snapToGrid/>
          <w:color w:val="000000"/>
          <w:kern w:val="0"/>
          <w:sz w:val="24"/>
          <w:szCs w:val="24"/>
          <w:lang w:val="en-US" w:eastAsia="zh-CN" w:bidi="ar-SA"/>
        </w:rPr>
      </w:pPr>
    </w:p>
    <w:p w14:paraId="5250E67F">
      <w:pPr>
        <w:pStyle w:val="12"/>
        <w:rPr>
          <w:rFonts w:hint="eastAsia" w:ascii="Times New Roman" w:hAnsi="Times New Roman" w:eastAsia="仿宋_GB2312" w:cs="Times New Roman"/>
          <w:snapToGrid/>
          <w:color w:val="000000"/>
          <w:kern w:val="0"/>
          <w:sz w:val="24"/>
          <w:szCs w:val="24"/>
          <w:lang w:val="en-US" w:eastAsia="zh-CN" w:bidi="ar-SA"/>
        </w:rPr>
      </w:pPr>
    </w:p>
    <w:p w14:paraId="128B02A8">
      <w:pPr>
        <w:pStyle w:val="12"/>
        <w:rPr>
          <w:rFonts w:hint="eastAsia" w:ascii="Times New Roman" w:hAnsi="Times New Roman" w:eastAsia="仿宋_GB2312" w:cs="Times New Roman"/>
          <w:snapToGrid/>
          <w:color w:val="000000"/>
          <w:kern w:val="0"/>
          <w:sz w:val="24"/>
          <w:szCs w:val="24"/>
          <w:lang w:val="en-US" w:eastAsia="zh-CN" w:bidi="ar-SA"/>
        </w:rPr>
      </w:pPr>
    </w:p>
    <w:p w14:paraId="3F3FF0F4">
      <w:pPr>
        <w:pStyle w:val="12"/>
        <w:rPr>
          <w:rFonts w:hint="eastAsia" w:ascii="Times New Roman" w:hAnsi="Times New Roman" w:eastAsia="仿宋_GB2312" w:cs="Times New Roman"/>
          <w:snapToGrid/>
          <w:color w:val="000000"/>
          <w:kern w:val="0"/>
          <w:sz w:val="24"/>
          <w:szCs w:val="24"/>
          <w:lang w:val="en-US" w:eastAsia="zh-CN" w:bidi="ar-SA"/>
        </w:rPr>
      </w:pPr>
    </w:p>
    <w:p w14:paraId="401B4AA7">
      <w:pPr>
        <w:pStyle w:val="12"/>
        <w:rPr>
          <w:rFonts w:hint="eastAsia" w:ascii="Times New Roman" w:hAnsi="Times New Roman" w:eastAsia="仿宋_GB2312" w:cs="Times New Roman"/>
          <w:snapToGrid/>
          <w:color w:val="000000"/>
          <w:kern w:val="0"/>
          <w:sz w:val="24"/>
          <w:szCs w:val="24"/>
          <w:lang w:val="en-US" w:eastAsia="zh-CN" w:bidi="ar-SA"/>
        </w:rPr>
      </w:pPr>
    </w:p>
    <w:p w14:paraId="06000C1B">
      <w:pPr>
        <w:pStyle w:val="12"/>
        <w:rPr>
          <w:rFonts w:hint="eastAsia" w:ascii="Times New Roman" w:hAnsi="Times New Roman" w:eastAsia="仿宋_GB2312" w:cs="Times New Roman"/>
          <w:snapToGrid/>
          <w:color w:val="000000"/>
          <w:kern w:val="0"/>
          <w:sz w:val="24"/>
          <w:szCs w:val="24"/>
          <w:lang w:val="en-US" w:eastAsia="zh-CN" w:bidi="ar-SA"/>
        </w:rPr>
      </w:pPr>
    </w:p>
    <w:p w14:paraId="409402CD">
      <w:pPr>
        <w:pStyle w:val="12"/>
        <w:rPr>
          <w:rFonts w:hint="eastAsia" w:ascii="Times New Roman" w:hAnsi="Times New Roman" w:eastAsia="仿宋_GB2312" w:cs="Times New Roman"/>
          <w:snapToGrid/>
          <w:color w:val="000000"/>
          <w:kern w:val="0"/>
          <w:sz w:val="24"/>
          <w:szCs w:val="24"/>
          <w:lang w:val="en-US" w:eastAsia="zh-CN" w:bidi="ar-SA"/>
        </w:rPr>
      </w:pPr>
    </w:p>
    <w:p w14:paraId="7FC2620A">
      <w:pPr>
        <w:pStyle w:val="12"/>
        <w:rPr>
          <w:rFonts w:hint="eastAsia" w:ascii="Times New Roman" w:hAnsi="Times New Roman" w:eastAsia="仿宋_GB2312" w:cs="Times New Roman"/>
          <w:snapToGrid/>
          <w:color w:val="000000"/>
          <w:kern w:val="0"/>
          <w:sz w:val="24"/>
          <w:szCs w:val="24"/>
          <w:lang w:val="en-US" w:eastAsia="zh-CN" w:bidi="ar-SA"/>
        </w:rPr>
      </w:pPr>
    </w:p>
    <w:p w14:paraId="13A15365">
      <w:pPr>
        <w:pStyle w:val="12"/>
        <w:rPr>
          <w:rFonts w:hint="eastAsia" w:ascii="Times New Roman" w:hAnsi="Times New Roman" w:eastAsia="仿宋_GB2312" w:cs="Times New Roman"/>
          <w:snapToGrid/>
          <w:color w:val="000000"/>
          <w:kern w:val="0"/>
          <w:sz w:val="24"/>
          <w:szCs w:val="24"/>
          <w:lang w:val="en-US" w:eastAsia="zh-CN" w:bidi="ar-SA"/>
        </w:rPr>
      </w:pPr>
    </w:p>
    <w:p w14:paraId="3F47E77B">
      <w:pPr>
        <w:pStyle w:val="12"/>
        <w:rPr>
          <w:rFonts w:hint="eastAsia" w:ascii="Times New Roman" w:hAnsi="Times New Roman" w:eastAsia="仿宋_GB2312" w:cs="Times New Roman"/>
          <w:snapToGrid/>
          <w:color w:val="000000"/>
          <w:kern w:val="0"/>
          <w:sz w:val="24"/>
          <w:szCs w:val="24"/>
          <w:lang w:val="en-US" w:eastAsia="zh-CN" w:bidi="ar-SA"/>
        </w:rPr>
      </w:pPr>
    </w:p>
    <w:p w14:paraId="1425F67C">
      <w:pPr>
        <w:pStyle w:val="12"/>
        <w:rPr>
          <w:rFonts w:hint="eastAsia" w:ascii="Times New Roman" w:hAnsi="Times New Roman" w:eastAsia="仿宋_GB2312" w:cs="Times New Roman"/>
          <w:snapToGrid/>
          <w:color w:val="000000"/>
          <w:kern w:val="0"/>
          <w:sz w:val="24"/>
          <w:szCs w:val="24"/>
          <w:lang w:val="en-US" w:eastAsia="zh-CN" w:bidi="ar-SA"/>
        </w:rPr>
      </w:pPr>
    </w:p>
    <w:p w14:paraId="63765596">
      <w:pPr>
        <w:pStyle w:val="12"/>
        <w:rPr>
          <w:rFonts w:hint="eastAsia" w:ascii="Times New Roman" w:hAnsi="Times New Roman" w:eastAsia="仿宋_GB2312" w:cs="Times New Roman"/>
          <w:snapToGrid/>
          <w:color w:val="000000"/>
          <w:kern w:val="0"/>
          <w:sz w:val="24"/>
          <w:szCs w:val="24"/>
          <w:lang w:val="en-US" w:eastAsia="zh-CN" w:bidi="ar-SA"/>
        </w:rPr>
      </w:pPr>
    </w:p>
    <w:p w14:paraId="15FF2FE0">
      <w:pPr>
        <w:pStyle w:val="12"/>
        <w:rPr>
          <w:rFonts w:hint="eastAsia" w:ascii="Times New Roman" w:hAnsi="Times New Roman" w:eastAsia="仿宋_GB2312" w:cs="Times New Roman"/>
          <w:snapToGrid/>
          <w:color w:val="000000"/>
          <w:kern w:val="0"/>
          <w:sz w:val="24"/>
          <w:szCs w:val="24"/>
          <w:lang w:val="en-US" w:eastAsia="zh-CN" w:bidi="ar-SA"/>
        </w:rPr>
      </w:pPr>
    </w:p>
    <w:p w14:paraId="5F49E147">
      <w:pPr>
        <w:pStyle w:val="12"/>
        <w:rPr>
          <w:rFonts w:hint="eastAsia" w:ascii="Times New Roman" w:hAnsi="Times New Roman" w:eastAsia="仿宋_GB2312" w:cs="Times New Roman"/>
          <w:snapToGrid/>
          <w:color w:val="000000"/>
          <w:kern w:val="0"/>
          <w:sz w:val="24"/>
          <w:szCs w:val="24"/>
          <w:lang w:val="en-US" w:eastAsia="zh-CN" w:bidi="ar-SA"/>
        </w:rPr>
      </w:pPr>
    </w:p>
    <w:p w14:paraId="17FFD834">
      <w:pPr>
        <w:pStyle w:val="12"/>
        <w:rPr>
          <w:rFonts w:hint="eastAsia" w:ascii="Times New Roman" w:hAnsi="Times New Roman" w:eastAsia="仿宋_GB2312" w:cs="Times New Roman"/>
          <w:snapToGrid/>
          <w:color w:val="000000"/>
          <w:kern w:val="0"/>
          <w:sz w:val="24"/>
          <w:szCs w:val="24"/>
          <w:lang w:val="en-US" w:eastAsia="zh-CN" w:bidi="ar-SA"/>
        </w:rPr>
      </w:pPr>
    </w:p>
    <w:p w14:paraId="44F32FC7">
      <w:pPr>
        <w:pStyle w:val="12"/>
        <w:rPr>
          <w:rFonts w:hint="eastAsia" w:ascii="Times New Roman" w:hAnsi="Times New Roman" w:eastAsia="仿宋_GB2312" w:cs="Times New Roman"/>
          <w:snapToGrid/>
          <w:color w:val="000000"/>
          <w:kern w:val="0"/>
          <w:sz w:val="24"/>
          <w:szCs w:val="24"/>
          <w:lang w:val="en-US" w:eastAsia="zh-CN" w:bidi="ar-SA"/>
        </w:rPr>
      </w:pPr>
    </w:p>
    <w:p w14:paraId="4605D02D">
      <w:pPr>
        <w:pStyle w:val="12"/>
        <w:rPr>
          <w:rFonts w:hint="eastAsia" w:ascii="Times New Roman" w:hAnsi="Times New Roman" w:eastAsia="仿宋_GB2312" w:cs="Times New Roman"/>
          <w:snapToGrid/>
          <w:color w:val="000000"/>
          <w:kern w:val="0"/>
          <w:sz w:val="24"/>
          <w:szCs w:val="24"/>
          <w:lang w:val="en-US" w:eastAsia="zh-CN" w:bidi="ar-SA"/>
        </w:rPr>
      </w:pPr>
    </w:p>
    <w:p w14:paraId="75308BB0">
      <w:pPr>
        <w:pStyle w:val="12"/>
        <w:rPr>
          <w:rFonts w:hint="eastAsia" w:ascii="Times New Roman" w:hAnsi="Times New Roman" w:eastAsia="仿宋_GB2312" w:cs="Times New Roman"/>
          <w:snapToGrid/>
          <w:color w:val="000000"/>
          <w:kern w:val="0"/>
          <w:sz w:val="24"/>
          <w:szCs w:val="24"/>
          <w:lang w:val="en-US" w:eastAsia="zh-CN" w:bidi="ar-SA"/>
        </w:rPr>
      </w:pPr>
    </w:p>
    <w:p w14:paraId="2A5CDA7F">
      <w:pPr>
        <w:pStyle w:val="12"/>
        <w:rPr>
          <w:rFonts w:hint="eastAsia" w:ascii="Times New Roman" w:hAnsi="Times New Roman" w:eastAsia="仿宋_GB2312" w:cs="Times New Roman"/>
          <w:snapToGrid/>
          <w:color w:val="000000"/>
          <w:kern w:val="0"/>
          <w:sz w:val="24"/>
          <w:szCs w:val="24"/>
          <w:lang w:val="en-US" w:eastAsia="zh-CN" w:bidi="ar-SA"/>
        </w:rPr>
      </w:pPr>
    </w:p>
    <w:p w14:paraId="541E43CC">
      <w:pPr>
        <w:pStyle w:val="12"/>
        <w:rPr>
          <w:rFonts w:hint="eastAsia" w:ascii="Times New Roman" w:hAnsi="Times New Roman" w:eastAsia="仿宋_GB2312" w:cs="Times New Roman"/>
          <w:snapToGrid/>
          <w:color w:val="000000"/>
          <w:kern w:val="0"/>
          <w:sz w:val="24"/>
          <w:szCs w:val="24"/>
          <w:lang w:val="en-US" w:eastAsia="zh-CN" w:bidi="ar-SA"/>
        </w:rPr>
      </w:pPr>
    </w:p>
    <w:p w14:paraId="76E23617">
      <w:pPr>
        <w:pStyle w:val="12"/>
        <w:rPr>
          <w:rFonts w:hint="eastAsia" w:ascii="Times New Roman" w:hAnsi="Times New Roman" w:eastAsia="仿宋_GB2312" w:cs="Times New Roman"/>
          <w:snapToGrid/>
          <w:color w:val="000000"/>
          <w:kern w:val="0"/>
          <w:sz w:val="24"/>
          <w:szCs w:val="24"/>
          <w:lang w:val="en-US" w:eastAsia="zh-CN" w:bidi="ar-SA"/>
        </w:rPr>
      </w:pPr>
    </w:p>
    <w:p w14:paraId="7E7EEA93">
      <w:pPr>
        <w:pStyle w:val="12"/>
        <w:rPr>
          <w:rFonts w:hint="eastAsia" w:ascii="Times New Roman" w:hAnsi="Times New Roman" w:eastAsia="仿宋_GB2312" w:cs="Times New Roman"/>
          <w:snapToGrid/>
          <w:color w:val="000000"/>
          <w:kern w:val="0"/>
          <w:sz w:val="24"/>
          <w:szCs w:val="24"/>
          <w:lang w:val="en-US" w:eastAsia="zh-CN" w:bidi="ar-SA"/>
        </w:rPr>
      </w:pPr>
    </w:p>
    <w:p w14:paraId="26D97818">
      <w:pPr>
        <w:pStyle w:val="12"/>
        <w:rPr>
          <w:rFonts w:hint="eastAsia" w:ascii="Times New Roman" w:hAnsi="Times New Roman" w:eastAsia="仿宋_GB2312" w:cs="Times New Roman"/>
          <w:snapToGrid/>
          <w:color w:val="000000"/>
          <w:kern w:val="0"/>
          <w:sz w:val="24"/>
          <w:szCs w:val="24"/>
          <w:lang w:val="en-US" w:eastAsia="zh-CN" w:bidi="ar-SA"/>
        </w:rPr>
      </w:pPr>
    </w:p>
    <w:p w14:paraId="5CD2B9C7">
      <w:pPr>
        <w:pStyle w:val="12"/>
        <w:rPr>
          <w:rFonts w:hint="eastAsia" w:ascii="Times New Roman" w:hAnsi="Times New Roman" w:eastAsia="仿宋_GB2312" w:cs="Times New Roman"/>
          <w:snapToGrid/>
          <w:color w:val="000000"/>
          <w:kern w:val="0"/>
          <w:sz w:val="24"/>
          <w:szCs w:val="24"/>
          <w:lang w:val="en-US" w:eastAsia="zh-CN" w:bidi="ar-SA"/>
        </w:rPr>
      </w:pPr>
    </w:p>
    <w:p w14:paraId="703FA1A9">
      <w:pPr>
        <w:pStyle w:val="12"/>
        <w:rPr>
          <w:rFonts w:hint="eastAsia" w:ascii="Times New Roman" w:hAnsi="Times New Roman" w:eastAsia="仿宋_GB2312" w:cs="Times New Roman"/>
          <w:snapToGrid/>
          <w:color w:val="000000"/>
          <w:kern w:val="0"/>
          <w:sz w:val="24"/>
          <w:szCs w:val="24"/>
          <w:lang w:val="en-US" w:eastAsia="zh-CN" w:bidi="ar-SA"/>
        </w:rPr>
      </w:pPr>
    </w:p>
    <w:p w14:paraId="43FF00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附件3-3</w:t>
      </w:r>
    </w:p>
    <w:p w14:paraId="3899411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0002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8967C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126E8D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3BBA24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地质灾害补助经费</w:t>
            </w:r>
          </w:p>
        </w:tc>
      </w:tr>
      <w:tr w14:paraId="5E92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5233A5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795B50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怀化市自然资源和规划局</w:t>
            </w:r>
          </w:p>
        </w:tc>
        <w:tc>
          <w:tcPr>
            <w:tcW w:w="1134" w:type="dxa"/>
            <w:noWrap w:val="0"/>
            <w:vAlign w:val="center"/>
          </w:tcPr>
          <w:p w14:paraId="2E241F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4F8669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怀化市地质灾害防治中心</w:t>
            </w:r>
          </w:p>
        </w:tc>
      </w:tr>
      <w:tr w14:paraId="6008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6AF5A4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5DFBFF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634E67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5C9D6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63D6D8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5383D8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53404E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CEF5F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38BB49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4C623B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651894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55A3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D9AC8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F09BA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3B31AD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42F140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37.32</w:t>
            </w:r>
          </w:p>
        </w:tc>
        <w:tc>
          <w:tcPr>
            <w:tcW w:w="1134" w:type="dxa"/>
            <w:noWrap w:val="0"/>
            <w:vAlign w:val="center"/>
          </w:tcPr>
          <w:p w14:paraId="46A3A0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37.32</w:t>
            </w:r>
          </w:p>
        </w:tc>
        <w:tc>
          <w:tcPr>
            <w:tcW w:w="828" w:type="dxa"/>
            <w:noWrap w:val="0"/>
            <w:vAlign w:val="center"/>
          </w:tcPr>
          <w:p w14:paraId="3BA309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26B4FA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29EBFD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16AF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45492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2C678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2F5A10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4936A1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37.32</w:t>
            </w:r>
          </w:p>
        </w:tc>
        <w:tc>
          <w:tcPr>
            <w:tcW w:w="1134" w:type="dxa"/>
            <w:noWrap w:val="0"/>
            <w:vAlign w:val="center"/>
          </w:tcPr>
          <w:p w14:paraId="5712F2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37.32</w:t>
            </w:r>
          </w:p>
        </w:tc>
        <w:tc>
          <w:tcPr>
            <w:tcW w:w="828" w:type="dxa"/>
            <w:noWrap w:val="0"/>
            <w:vAlign w:val="center"/>
          </w:tcPr>
          <w:p w14:paraId="745B52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3246DF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93E11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88A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5C4AA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1839FFD">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21C8F0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396DD9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4222A5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6C8940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60184A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784A2F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3381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A6C84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D2EB0F0">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5F59BA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04E48A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4A5A1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610470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1D4BF7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FB239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6768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523AFA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6F644C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6A2C38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3386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E3FD6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57A7B96C">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最大限度的减少因自然地质灾害导致的人民群众生命财产安全。　</w:t>
            </w:r>
          </w:p>
        </w:tc>
        <w:tc>
          <w:tcPr>
            <w:tcW w:w="4253" w:type="dxa"/>
            <w:gridSpan w:val="4"/>
            <w:noWrap w:val="0"/>
            <w:vAlign w:val="center"/>
          </w:tcPr>
          <w:p w14:paraId="0BC5F612">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w:t>
            </w:r>
            <w:r>
              <w:rPr>
                <w:rFonts w:hint="eastAsia" w:ascii="仿宋" w:hAnsi="仿宋" w:eastAsia="仿宋" w:cs="仿宋"/>
                <w:color w:val="000000"/>
                <w:kern w:val="0"/>
                <w:sz w:val="20"/>
                <w:szCs w:val="20"/>
              </w:rPr>
              <w:t>年以来，地灾中心在局党组的正确领导下，以习近平总书记关于防灾减灾救灾“两个坚持、三个转变”重要论述为根本遵循，始终坚持人民至上、生命至上，在完善体系、健全机制、夯实责任、狠抓落实上下功夫，经过全市上下艰辛努力、主动作为、部门协同奋战，在册地灾隐患点及切坡建房户未发生因地质灾害造成的人员伤亡和重大财产损失，较好的实现了地灾年度防治目标</w:t>
            </w:r>
            <w:r>
              <w:rPr>
                <w:rFonts w:hint="eastAsia" w:ascii="仿宋" w:hAnsi="仿宋" w:eastAsia="仿宋" w:cs="仿宋"/>
                <w:color w:val="000000"/>
                <w:kern w:val="0"/>
                <w:sz w:val="20"/>
                <w:szCs w:val="20"/>
                <w:lang w:eastAsia="zh-CN"/>
              </w:rPr>
              <w:t>。</w:t>
            </w:r>
          </w:p>
        </w:tc>
      </w:tr>
      <w:tr w14:paraId="4855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7CE6F4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153CA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71DAB8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F3D16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CD5D0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B2C9F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7E56F9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49C070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F79E5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06753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A0967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7AB4FE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2A6F6D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1B880F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5ABA8B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C93BA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2B0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256EB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92E2F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7BCBD6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5E5321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2D36B9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≤37.32万元</w:t>
            </w:r>
          </w:p>
        </w:tc>
        <w:tc>
          <w:tcPr>
            <w:tcW w:w="1134" w:type="dxa"/>
            <w:noWrap w:val="0"/>
            <w:vAlign w:val="center"/>
          </w:tcPr>
          <w:p w14:paraId="449713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37.32万元</w:t>
            </w:r>
          </w:p>
        </w:tc>
        <w:tc>
          <w:tcPr>
            <w:tcW w:w="828" w:type="dxa"/>
            <w:noWrap w:val="0"/>
            <w:vAlign w:val="center"/>
          </w:tcPr>
          <w:p w14:paraId="742C31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6782A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97F19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C68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001547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CB626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56E24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03B06B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460A02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1AA263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3916F5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2774DB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342D8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F9E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7B20D5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4DCB7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FBC61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CBC47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1209" w:type="dxa"/>
            <w:shd w:val="clear" w:color="auto" w:fill="auto"/>
            <w:noWrap w:val="0"/>
            <w:vAlign w:val="center"/>
          </w:tcPr>
          <w:p w14:paraId="08105E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134" w:type="dxa"/>
            <w:shd w:val="clear" w:color="auto" w:fill="auto"/>
            <w:noWrap w:val="0"/>
            <w:vAlign w:val="center"/>
          </w:tcPr>
          <w:p w14:paraId="7BFEED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828" w:type="dxa"/>
            <w:noWrap w:val="0"/>
            <w:vAlign w:val="center"/>
          </w:tcPr>
          <w:p w14:paraId="2CE154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3FCF7D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8D2EE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8A5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1E969E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584FA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7D06A8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restart"/>
            <w:noWrap w:val="0"/>
            <w:vAlign w:val="center"/>
          </w:tcPr>
          <w:p w14:paraId="58719E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198EAC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地灾防治专项人员</w:t>
            </w:r>
          </w:p>
        </w:tc>
        <w:tc>
          <w:tcPr>
            <w:tcW w:w="1209" w:type="dxa"/>
            <w:shd w:val="clear" w:color="auto" w:fill="auto"/>
            <w:noWrap w:val="0"/>
            <w:vAlign w:val="center"/>
          </w:tcPr>
          <w:p w14:paraId="00A9D7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17人</w:t>
            </w:r>
          </w:p>
        </w:tc>
        <w:tc>
          <w:tcPr>
            <w:tcW w:w="1134" w:type="dxa"/>
            <w:shd w:val="clear" w:color="auto" w:fill="auto"/>
            <w:noWrap w:val="0"/>
            <w:vAlign w:val="center"/>
          </w:tcPr>
          <w:p w14:paraId="26FD78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17人</w:t>
            </w:r>
          </w:p>
        </w:tc>
        <w:tc>
          <w:tcPr>
            <w:tcW w:w="828" w:type="dxa"/>
            <w:noWrap w:val="0"/>
            <w:vAlign w:val="center"/>
          </w:tcPr>
          <w:p w14:paraId="0C1B4A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73" w:type="dxa"/>
            <w:noWrap w:val="0"/>
            <w:vAlign w:val="center"/>
          </w:tcPr>
          <w:p w14:paraId="53C01A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418" w:type="dxa"/>
            <w:noWrap w:val="0"/>
            <w:vAlign w:val="center"/>
          </w:tcPr>
          <w:p w14:paraId="2D547A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E5B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11DB32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ACF2A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7272BA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351C90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在册地灾隐患点排查</w:t>
            </w:r>
          </w:p>
        </w:tc>
        <w:tc>
          <w:tcPr>
            <w:tcW w:w="1209" w:type="dxa"/>
            <w:shd w:val="clear" w:color="auto" w:fill="auto"/>
            <w:noWrap w:val="0"/>
            <w:vAlign w:val="center"/>
          </w:tcPr>
          <w:p w14:paraId="26C461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13个县市区</w:t>
            </w:r>
          </w:p>
        </w:tc>
        <w:tc>
          <w:tcPr>
            <w:tcW w:w="1134" w:type="dxa"/>
            <w:shd w:val="clear" w:color="auto" w:fill="auto"/>
            <w:noWrap w:val="0"/>
            <w:vAlign w:val="center"/>
          </w:tcPr>
          <w:p w14:paraId="66A70B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13个县市区</w:t>
            </w:r>
          </w:p>
        </w:tc>
        <w:tc>
          <w:tcPr>
            <w:tcW w:w="828" w:type="dxa"/>
            <w:noWrap w:val="0"/>
            <w:vAlign w:val="center"/>
          </w:tcPr>
          <w:p w14:paraId="47D96E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73" w:type="dxa"/>
            <w:noWrap w:val="0"/>
            <w:vAlign w:val="center"/>
          </w:tcPr>
          <w:p w14:paraId="4388AA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418" w:type="dxa"/>
            <w:noWrap w:val="0"/>
            <w:vAlign w:val="center"/>
          </w:tcPr>
          <w:p w14:paraId="051E84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784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5DE66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175EB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75B5BA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723094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“三查”工作</w:t>
            </w:r>
          </w:p>
        </w:tc>
        <w:tc>
          <w:tcPr>
            <w:tcW w:w="1209" w:type="dxa"/>
            <w:shd w:val="clear" w:color="auto" w:fill="auto"/>
            <w:noWrap w:val="0"/>
            <w:vAlign w:val="center"/>
          </w:tcPr>
          <w:p w14:paraId="1E4677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汛前排查、汛中巡查、汛后核查3期</w:t>
            </w:r>
          </w:p>
        </w:tc>
        <w:tc>
          <w:tcPr>
            <w:tcW w:w="1134" w:type="dxa"/>
            <w:shd w:val="clear" w:color="auto" w:fill="auto"/>
            <w:noWrap w:val="0"/>
            <w:vAlign w:val="center"/>
          </w:tcPr>
          <w:p w14:paraId="101A9A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汛前排查、汛中巡查、汛后核查3期</w:t>
            </w:r>
          </w:p>
        </w:tc>
        <w:tc>
          <w:tcPr>
            <w:tcW w:w="828" w:type="dxa"/>
            <w:noWrap w:val="0"/>
            <w:vAlign w:val="center"/>
          </w:tcPr>
          <w:p w14:paraId="6C619C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73" w:type="dxa"/>
            <w:noWrap w:val="0"/>
            <w:vAlign w:val="center"/>
          </w:tcPr>
          <w:p w14:paraId="3B199D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418" w:type="dxa"/>
            <w:noWrap w:val="0"/>
            <w:vAlign w:val="center"/>
          </w:tcPr>
          <w:p w14:paraId="31A655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E90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401360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4A309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5B1D0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shd w:val="clear" w:color="auto" w:fill="auto"/>
            <w:noWrap w:val="0"/>
            <w:vAlign w:val="center"/>
          </w:tcPr>
          <w:p w14:paraId="6D5AFD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地质灾害应急演练、宣传覆盖率</w:t>
            </w:r>
          </w:p>
        </w:tc>
        <w:tc>
          <w:tcPr>
            <w:tcW w:w="1209" w:type="dxa"/>
            <w:shd w:val="clear" w:color="auto" w:fill="auto"/>
            <w:noWrap w:val="0"/>
            <w:vAlign w:val="center"/>
          </w:tcPr>
          <w:p w14:paraId="559523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74AA1D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100%</w:t>
            </w:r>
          </w:p>
        </w:tc>
        <w:tc>
          <w:tcPr>
            <w:tcW w:w="828" w:type="dxa"/>
            <w:shd w:val="clear" w:color="auto" w:fill="auto"/>
            <w:noWrap w:val="0"/>
            <w:vAlign w:val="center"/>
          </w:tcPr>
          <w:p w14:paraId="3319B2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4</w:t>
            </w:r>
          </w:p>
        </w:tc>
        <w:tc>
          <w:tcPr>
            <w:tcW w:w="873" w:type="dxa"/>
            <w:shd w:val="clear" w:color="auto" w:fill="auto"/>
            <w:noWrap w:val="0"/>
            <w:vAlign w:val="center"/>
          </w:tcPr>
          <w:p w14:paraId="5C5D2E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4</w:t>
            </w:r>
          </w:p>
        </w:tc>
        <w:tc>
          <w:tcPr>
            <w:tcW w:w="1418" w:type="dxa"/>
            <w:shd w:val="clear" w:color="auto" w:fill="auto"/>
            <w:noWrap w:val="0"/>
            <w:vAlign w:val="center"/>
          </w:tcPr>
          <w:p w14:paraId="4405A8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5588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0394F3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4998F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44619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0CFE97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监测设备在线率</w:t>
            </w:r>
          </w:p>
        </w:tc>
        <w:tc>
          <w:tcPr>
            <w:tcW w:w="1209" w:type="dxa"/>
            <w:shd w:val="clear" w:color="auto" w:fill="auto"/>
            <w:noWrap w:val="0"/>
            <w:vAlign w:val="center"/>
          </w:tcPr>
          <w:p w14:paraId="217B2A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453385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92%</w:t>
            </w:r>
          </w:p>
        </w:tc>
        <w:tc>
          <w:tcPr>
            <w:tcW w:w="828" w:type="dxa"/>
            <w:shd w:val="clear" w:color="auto" w:fill="auto"/>
            <w:noWrap w:val="0"/>
            <w:vAlign w:val="center"/>
          </w:tcPr>
          <w:p w14:paraId="33E898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4</w:t>
            </w:r>
          </w:p>
        </w:tc>
        <w:tc>
          <w:tcPr>
            <w:tcW w:w="873" w:type="dxa"/>
            <w:shd w:val="clear" w:color="auto" w:fill="auto"/>
            <w:noWrap w:val="0"/>
            <w:vAlign w:val="center"/>
          </w:tcPr>
          <w:p w14:paraId="4AC688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4</w:t>
            </w:r>
          </w:p>
        </w:tc>
        <w:tc>
          <w:tcPr>
            <w:tcW w:w="1418" w:type="dxa"/>
            <w:shd w:val="clear" w:color="auto" w:fill="auto"/>
            <w:noWrap w:val="0"/>
            <w:vAlign w:val="center"/>
          </w:tcPr>
          <w:p w14:paraId="5FFF8D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651A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597B98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C066C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0B550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6453E3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及时完成情况</w:t>
            </w:r>
          </w:p>
        </w:tc>
        <w:tc>
          <w:tcPr>
            <w:tcW w:w="1209" w:type="dxa"/>
            <w:noWrap w:val="0"/>
            <w:vAlign w:val="center"/>
          </w:tcPr>
          <w:p w14:paraId="102771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2024年12月31日之前</w:t>
            </w:r>
          </w:p>
        </w:tc>
        <w:tc>
          <w:tcPr>
            <w:tcW w:w="1134" w:type="dxa"/>
            <w:noWrap w:val="0"/>
            <w:vAlign w:val="center"/>
          </w:tcPr>
          <w:p w14:paraId="4CD491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2024年12月31日之前</w:t>
            </w:r>
          </w:p>
        </w:tc>
        <w:tc>
          <w:tcPr>
            <w:tcW w:w="828" w:type="dxa"/>
            <w:noWrap w:val="0"/>
            <w:vAlign w:val="center"/>
          </w:tcPr>
          <w:p w14:paraId="4959EC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noWrap w:val="0"/>
            <w:vAlign w:val="center"/>
          </w:tcPr>
          <w:p w14:paraId="4CD1F6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1FFFF3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D61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45675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D9FF0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BE1D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FC57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693F0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2117A0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最大限度减少灾害损失</w:t>
            </w:r>
          </w:p>
        </w:tc>
        <w:tc>
          <w:tcPr>
            <w:tcW w:w="1209" w:type="dxa"/>
            <w:shd w:val="clear" w:color="auto" w:fill="auto"/>
            <w:noWrap w:val="0"/>
            <w:vAlign w:val="center"/>
          </w:tcPr>
          <w:p w14:paraId="73EEFC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7FF046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效果良好</w:t>
            </w:r>
          </w:p>
        </w:tc>
        <w:tc>
          <w:tcPr>
            <w:tcW w:w="828" w:type="dxa"/>
            <w:shd w:val="clear" w:color="auto" w:fill="auto"/>
            <w:noWrap w:val="0"/>
            <w:vAlign w:val="center"/>
          </w:tcPr>
          <w:p w14:paraId="03BDC6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3C57D4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w:t>
            </w:r>
          </w:p>
        </w:tc>
        <w:tc>
          <w:tcPr>
            <w:tcW w:w="1418" w:type="dxa"/>
            <w:shd w:val="clear" w:color="auto" w:fill="auto"/>
            <w:noWrap w:val="0"/>
            <w:vAlign w:val="center"/>
          </w:tcPr>
          <w:p w14:paraId="3B41DE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373F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CD2B7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41E75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3B16D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C3D47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115FDF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监测预警区地质灾害防范能力</w:t>
            </w:r>
          </w:p>
        </w:tc>
        <w:tc>
          <w:tcPr>
            <w:tcW w:w="1209" w:type="dxa"/>
            <w:shd w:val="clear" w:color="auto" w:fill="auto"/>
            <w:noWrap w:val="0"/>
            <w:vAlign w:val="center"/>
          </w:tcPr>
          <w:p w14:paraId="076228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有所提高</w:t>
            </w:r>
          </w:p>
        </w:tc>
        <w:tc>
          <w:tcPr>
            <w:tcW w:w="1134" w:type="dxa"/>
            <w:shd w:val="clear" w:color="auto" w:fill="auto"/>
            <w:noWrap w:val="0"/>
            <w:vAlign w:val="center"/>
          </w:tcPr>
          <w:p w14:paraId="2C61C6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有所提高</w:t>
            </w:r>
          </w:p>
        </w:tc>
        <w:tc>
          <w:tcPr>
            <w:tcW w:w="828" w:type="dxa"/>
            <w:shd w:val="clear" w:color="auto" w:fill="auto"/>
            <w:noWrap w:val="0"/>
            <w:vAlign w:val="center"/>
          </w:tcPr>
          <w:p w14:paraId="037062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3E9060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01FEF9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72F3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027AD7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6EF40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FDB4D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2940B6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群众防灾避险意识和临灾避险能力</w:t>
            </w:r>
          </w:p>
        </w:tc>
        <w:tc>
          <w:tcPr>
            <w:tcW w:w="1209" w:type="dxa"/>
            <w:shd w:val="clear" w:color="auto" w:fill="auto"/>
            <w:noWrap w:val="0"/>
            <w:vAlign w:val="center"/>
          </w:tcPr>
          <w:p w14:paraId="453FFA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有所提高</w:t>
            </w:r>
          </w:p>
        </w:tc>
        <w:tc>
          <w:tcPr>
            <w:tcW w:w="1134" w:type="dxa"/>
            <w:shd w:val="clear" w:color="auto" w:fill="auto"/>
            <w:noWrap w:val="0"/>
            <w:vAlign w:val="center"/>
          </w:tcPr>
          <w:p w14:paraId="152E66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有所提高</w:t>
            </w:r>
          </w:p>
        </w:tc>
        <w:tc>
          <w:tcPr>
            <w:tcW w:w="828" w:type="dxa"/>
            <w:shd w:val="clear" w:color="auto" w:fill="auto"/>
            <w:noWrap w:val="0"/>
            <w:vAlign w:val="center"/>
          </w:tcPr>
          <w:p w14:paraId="3EB099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261225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7A908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3BE7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D8A11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55622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5BE97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42F5EA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工程治理区群众生命财产安全保障</w:t>
            </w:r>
          </w:p>
        </w:tc>
        <w:tc>
          <w:tcPr>
            <w:tcW w:w="1209" w:type="dxa"/>
            <w:shd w:val="clear" w:color="auto" w:fill="auto"/>
            <w:noWrap w:val="0"/>
            <w:vAlign w:val="center"/>
          </w:tcPr>
          <w:p w14:paraId="476982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有所提升</w:t>
            </w:r>
          </w:p>
        </w:tc>
        <w:tc>
          <w:tcPr>
            <w:tcW w:w="1134" w:type="dxa"/>
            <w:shd w:val="clear" w:color="auto" w:fill="auto"/>
            <w:noWrap w:val="0"/>
            <w:vAlign w:val="center"/>
          </w:tcPr>
          <w:p w14:paraId="674159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有所提升</w:t>
            </w:r>
          </w:p>
        </w:tc>
        <w:tc>
          <w:tcPr>
            <w:tcW w:w="828" w:type="dxa"/>
            <w:shd w:val="clear" w:color="auto" w:fill="auto"/>
            <w:noWrap w:val="0"/>
            <w:vAlign w:val="center"/>
          </w:tcPr>
          <w:p w14:paraId="6F154D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70BD5D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479325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4F99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2114E6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2CC39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AF0E7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687E7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1E99E0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推进全市地质灾害防治发展和生态保护修复</w:t>
            </w:r>
          </w:p>
        </w:tc>
        <w:tc>
          <w:tcPr>
            <w:tcW w:w="1209" w:type="dxa"/>
            <w:shd w:val="clear" w:color="auto" w:fill="auto"/>
            <w:noWrap w:val="0"/>
            <w:vAlign w:val="center"/>
          </w:tcPr>
          <w:p w14:paraId="2D7227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454FEF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45944005">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61FFE1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2540AB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1BF3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14068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0C3BF8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C3D24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0157D9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推动全市地质灾害防治、矿产资源可持续发展</w:t>
            </w:r>
          </w:p>
        </w:tc>
        <w:tc>
          <w:tcPr>
            <w:tcW w:w="1209" w:type="dxa"/>
            <w:shd w:val="clear" w:color="auto" w:fill="auto"/>
            <w:noWrap w:val="0"/>
            <w:vAlign w:val="center"/>
          </w:tcPr>
          <w:p w14:paraId="59D9A3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42B7C3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630AB9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14EDAF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22553F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4B95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3B6AF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9770F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3184B4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AE604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7A5B27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shd w:val="clear" w:color="auto" w:fill="auto"/>
            <w:noWrap w:val="0"/>
            <w:vAlign w:val="center"/>
          </w:tcPr>
          <w:p w14:paraId="086B6D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社会公众满意度</w:t>
            </w:r>
          </w:p>
        </w:tc>
        <w:tc>
          <w:tcPr>
            <w:tcW w:w="1209" w:type="dxa"/>
            <w:shd w:val="clear" w:color="auto" w:fill="auto"/>
            <w:noWrap w:val="0"/>
            <w:vAlign w:val="center"/>
          </w:tcPr>
          <w:p w14:paraId="767B6B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5B7B66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95%</w:t>
            </w:r>
          </w:p>
        </w:tc>
        <w:tc>
          <w:tcPr>
            <w:tcW w:w="828" w:type="dxa"/>
            <w:shd w:val="clear" w:color="auto" w:fill="auto"/>
            <w:noWrap w:val="0"/>
            <w:vAlign w:val="center"/>
          </w:tcPr>
          <w:p w14:paraId="55C326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1B5AA5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609D0E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224C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19AEA3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506263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577F7C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w:t>
            </w:r>
          </w:p>
        </w:tc>
        <w:tc>
          <w:tcPr>
            <w:tcW w:w="1418" w:type="dxa"/>
            <w:noWrap w:val="0"/>
            <w:vAlign w:val="center"/>
          </w:tcPr>
          <w:p w14:paraId="4996FA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72A36EF7">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李洪妮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2025.6.4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：15307455303</w:t>
      </w:r>
    </w:p>
    <w:p w14:paraId="7216BABD">
      <w:pPr>
        <w:pStyle w:val="12"/>
        <w:ind w:left="0" w:leftChars="0" w:firstLine="0" w:firstLineChars="0"/>
        <w:rPr>
          <w:rFonts w:hint="eastAsia" w:ascii="Times New Roman" w:hAnsi="Times New Roman" w:eastAsia="仿宋_GB2312" w:cs="Times New Roman"/>
          <w:snapToGrid/>
          <w:color w:val="000000"/>
          <w:kern w:val="0"/>
          <w:sz w:val="24"/>
          <w:szCs w:val="24"/>
          <w:lang w:val="en-US" w:eastAsia="zh-CN" w:bidi="ar-SA"/>
        </w:rPr>
      </w:pPr>
    </w:p>
    <w:p w14:paraId="56207D48">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07CF5C0B">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02D4A981">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0BBB250C">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41CA05F5">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2C92AE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附件3-4</w:t>
      </w:r>
    </w:p>
    <w:p w14:paraId="5D6C3EFB">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29B6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4E31E0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12C890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2D892F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关于提前下达2024年自然资源专项资金的通知（地质灾害调查评价）</w:t>
            </w:r>
          </w:p>
        </w:tc>
      </w:tr>
      <w:tr w14:paraId="1EA2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20F48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670531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怀化市自然资源和规划局</w:t>
            </w:r>
          </w:p>
        </w:tc>
        <w:tc>
          <w:tcPr>
            <w:tcW w:w="1134" w:type="dxa"/>
            <w:noWrap w:val="0"/>
            <w:vAlign w:val="center"/>
          </w:tcPr>
          <w:p w14:paraId="5CD68A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1FDD95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怀化市地质灾害防治中心</w:t>
            </w:r>
          </w:p>
        </w:tc>
      </w:tr>
      <w:tr w14:paraId="1D4F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22939F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48C8BB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5E819F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3CE481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5E6784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04F498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18C072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2D7963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6B806E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C9042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7E294B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578D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1734F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0DCCF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6EC9DB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3BE783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60</w:t>
            </w:r>
          </w:p>
        </w:tc>
        <w:tc>
          <w:tcPr>
            <w:tcW w:w="1134" w:type="dxa"/>
            <w:noWrap w:val="0"/>
            <w:vAlign w:val="center"/>
          </w:tcPr>
          <w:p w14:paraId="4D3BD6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60</w:t>
            </w:r>
          </w:p>
        </w:tc>
        <w:tc>
          <w:tcPr>
            <w:tcW w:w="828" w:type="dxa"/>
            <w:noWrap w:val="0"/>
            <w:vAlign w:val="center"/>
          </w:tcPr>
          <w:p w14:paraId="392FA1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53D938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4ED248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3604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EC88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01052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2674BE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5491FD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60</w:t>
            </w:r>
          </w:p>
        </w:tc>
        <w:tc>
          <w:tcPr>
            <w:tcW w:w="1134" w:type="dxa"/>
            <w:noWrap w:val="0"/>
            <w:vAlign w:val="center"/>
          </w:tcPr>
          <w:p w14:paraId="72D500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60</w:t>
            </w:r>
          </w:p>
        </w:tc>
        <w:tc>
          <w:tcPr>
            <w:tcW w:w="828" w:type="dxa"/>
            <w:noWrap w:val="0"/>
            <w:vAlign w:val="center"/>
          </w:tcPr>
          <w:p w14:paraId="66C743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72ADA1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4D5D45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0AD4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C1D19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FFCB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7FBEA8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759B4E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B5F4B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200DC7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26778E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553200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7E53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012CBD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B55F529">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0A2CC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6F828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792963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4350B1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71B478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7224E2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0A02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05D239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10E05C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52643F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58B5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437636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2A0D0CEF">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最大限度的减少因自然地质灾害导致的人民群众生命财产安全。　</w:t>
            </w:r>
          </w:p>
        </w:tc>
        <w:tc>
          <w:tcPr>
            <w:tcW w:w="4253" w:type="dxa"/>
            <w:gridSpan w:val="4"/>
            <w:noWrap w:val="0"/>
            <w:vAlign w:val="center"/>
          </w:tcPr>
          <w:p w14:paraId="1F160A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1.</w:t>
            </w:r>
            <w:r>
              <w:rPr>
                <w:rFonts w:hint="eastAsia" w:ascii="仿宋" w:hAnsi="仿宋" w:eastAsia="仿宋" w:cs="仿宋"/>
                <w:color w:val="000000"/>
                <w:kern w:val="0"/>
                <w:sz w:val="20"/>
                <w:szCs w:val="20"/>
                <w:lang w:eastAsia="zh-CN"/>
              </w:rPr>
              <w:t>落实落细隐患排查。首先以市地质灾害防治工作防治工作领导小组的名义下发关于开展年度汛前、汛中排查工作的通知，要求对所有在册隐患点、中风险及以上斜坡（沟谷）单元、切坡建房户、临坡临沟临崖临水住户、交通沿线、旅游景区、学校、医院、人口密集区、在建工程等进行全覆盖排查，完善“一案两卡”，做到防灾责任事项清晰明了，措施精准到点、到人，防范知识和风险信息告知到户到人。通过汛前、汛中、汛后巡排查，做到了底数清，责任明，为地灾防治的工作奠定了良好基础。</w:t>
            </w:r>
          </w:p>
          <w:p w14:paraId="54234C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lang w:eastAsia="zh-CN"/>
              </w:rPr>
              <w:t>强化值班值守制度。入汛前，对参与值班人员进行了调整，挑选了熟悉业务，工作责任心强的人员参与值班，并进行了上岗前的培训。严格执行领导带班24小时双人双岗值班制度，村组和隐患点执行24小时值守和动态巡查监测制度，确保盯防不空档。同时，加强调度指挥，密切关注雨情变化趋势，提前发布预警信息，做到雨下到哪里，预警信息就发布到哪里。特别强化对降雨重点落区乡镇调度（特别关注夜间的叫应和转移到位），除调度乡镇值班室外，还加密了对隐患点片（点）长、风险区巡查员直接调度频次，以及预警信息和转移指令发送后执行情况的调度，及时全面掌握隐患的情况。着力发挥点长片长、巡查员地灾监测预警“前哨”作用，全力打通预警预防的“最后一厘米”。</w:t>
            </w:r>
          </w:p>
          <w:p w14:paraId="646AAE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lang w:eastAsia="zh-CN"/>
              </w:rPr>
              <w:t>加强“人防+技防”建设。持续做好往年地灾监测预警项目设备的运行维护工作，不断提高设备在线率，确保设备良好运行。</w:t>
            </w:r>
          </w:p>
          <w:p w14:paraId="23BB82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lang w:eastAsia="zh-CN"/>
              </w:rPr>
              <w:t>.广泛宣传，提高群众知晓率。为切实提高群众防灾减灾潜力，增强群众防灾减灾意识，最大限度减少灾害造成的损失，我中心充分利用“4.22世界地球日”、“5.12防灾减灾日”、6月安全生产月等多渠道、多形式开展防灾减灾宣传活动。</w:t>
            </w:r>
          </w:p>
          <w:p w14:paraId="26501A7D">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lang w:eastAsia="zh-CN"/>
              </w:rPr>
              <w:t>开展避险演练，提高自救互救能力。为让人民群众掌握了解避险的正确方法，熟悉逃生路线，熟知避险临时安置处，有序快速撤离危险区，进一步增强群众的应急避险意识和自救互救能力，开展应急避险演练。演练达到检验应急队伍、增强协作能力，提升防灾意识能力的目的。</w:t>
            </w:r>
          </w:p>
        </w:tc>
      </w:tr>
      <w:tr w14:paraId="366A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450BA4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BCA3D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FAC3F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071B1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4A46C7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4CF91A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6801F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0407CF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5D74D3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299435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3C8346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51765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3524C0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4AEC5A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632BE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54DAEE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51D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649302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0A23B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788CD3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929B8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248E22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≤60万元</w:t>
            </w:r>
          </w:p>
        </w:tc>
        <w:tc>
          <w:tcPr>
            <w:tcW w:w="1134" w:type="dxa"/>
            <w:noWrap w:val="0"/>
            <w:vAlign w:val="center"/>
          </w:tcPr>
          <w:p w14:paraId="1BF1B7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60万元</w:t>
            </w:r>
          </w:p>
        </w:tc>
        <w:tc>
          <w:tcPr>
            <w:tcW w:w="828" w:type="dxa"/>
            <w:noWrap w:val="0"/>
            <w:vAlign w:val="center"/>
          </w:tcPr>
          <w:p w14:paraId="3C5588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2F450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67516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8F3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1C922F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2D731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967B9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D0254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7D2024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0CA823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79AF5C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7E2359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58F5F7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1A5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7EE10A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516FF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2EB66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5A6804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生态环境成本节约率</w:t>
            </w:r>
          </w:p>
        </w:tc>
        <w:tc>
          <w:tcPr>
            <w:tcW w:w="1209" w:type="dxa"/>
            <w:shd w:val="clear" w:color="auto" w:fill="auto"/>
            <w:noWrap w:val="0"/>
            <w:vAlign w:val="center"/>
          </w:tcPr>
          <w:p w14:paraId="3D16C0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1134" w:type="dxa"/>
            <w:shd w:val="clear" w:color="auto" w:fill="auto"/>
            <w:noWrap w:val="0"/>
            <w:vAlign w:val="center"/>
          </w:tcPr>
          <w:p w14:paraId="18C32F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0%</w:t>
            </w:r>
          </w:p>
        </w:tc>
        <w:tc>
          <w:tcPr>
            <w:tcW w:w="828" w:type="dxa"/>
            <w:noWrap w:val="0"/>
            <w:vAlign w:val="center"/>
          </w:tcPr>
          <w:p w14:paraId="6780EC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5DC7FF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14A15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862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 w:hRule="atLeast"/>
          <w:jc w:val="center"/>
        </w:trPr>
        <w:tc>
          <w:tcPr>
            <w:tcW w:w="1080" w:type="dxa"/>
            <w:vMerge w:val="continue"/>
            <w:noWrap w:val="0"/>
            <w:vAlign w:val="center"/>
          </w:tcPr>
          <w:p w14:paraId="16FBA4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545C8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633359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restart"/>
            <w:noWrap w:val="0"/>
            <w:vAlign w:val="center"/>
          </w:tcPr>
          <w:p w14:paraId="08259A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67F5B7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“三查”工作</w:t>
            </w:r>
          </w:p>
        </w:tc>
        <w:tc>
          <w:tcPr>
            <w:tcW w:w="1209" w:type="dxa"/>
            <w:shd w:val="clear" w:color="auto" w:fill="auto"/>
            <w:noWrap w:val="0"/>
            <w:vAlign w:val="center"/>
          </w:tcPr>
          <w:p w14:paraId="210C4A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汛前排查、汛中巡查、汛后核查3期</w:t>
            </w:r>
          </w:p>
        </w:tc>
        <w:tc>
          <w:tcPr>
            <w:tcW w:w="1134" w:type="dxa"/>
            <w:shd w:val="clear" w:color="auto" w:fill="auto"/>
            <w:noWrap w:val="0"/>
            <w:vAlign w:val="center"/>
          </w:tcPr>
          <w:p w14:paraId="14396F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汛前排查、汛中巡查、汛后核查3期</w:t>
            </w:r>
          </w:p>
        </w:tc>
        <w:tc>
          <w:tcPr>
            <w:tcW w:w="828" w:type="dxa"/>
            <w:noWrap w:val="0"/>
            <w:vAlign w:val="center"/>
          </w:tcPr>
          <w:p w14:paraId="408813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873" w:type="dxa"/>
            <w:noWrap w:val="0"/>
            <w:vAlign w:val="center"/>
          </w:tcPr>
          <w:p w14:paraId="44E300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1418" w:type="dxa"/>
            <w:noWrap w:val="0"/>
            <w:vAlign w:val="center"/>
          </w:tcPr>
          <w:p w14:paraId="673CDF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0EC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2ED93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4393E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7B13E0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53E5DD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防灾减灾宣传活动</w:t>
            </w:r>
          </w:p>
        </w:tc>
        <w:tc>
          <w:tcPr>
            <w:tcW w:w="1209" w:type="dxa"/>
            <w:shd w:val="clear" w:color="auto" w:fill="auto"/>
            <w:noWrap w:val="0"/>
            <w:vAlign w:val="center"/>
          </w:tcPr>
          <w:p w14:paraId="0F7A89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≥3次</w:t>
            </w:r>
          </w:p>
        </w:tc>
        <w:tc>
          <w:tcPr>
            <w:tcW w:w="1134" w:type="dxa"/>
            <w:shd w:val="clear" w:color="auto" w:fill="auto"/>
            <w:noWrap w:val="0"/>
            <w:vAlign w:val="center"/>
          </w:tcPr>
          <w:p w14:paraId="247FBA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3次以上</w:t>
            </w:r>
          </w:p>
        </w:tc>
        <w:tc>
          <w:tcPr>
            <w:tcW w:w="828" w:type="dxa"/>
            <w:noWrap w:val="0"/>
            <w:vAlign w:val="center"/>
          </w:tcPr>
          <w:p w14:paraId="75D29A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3</w:t>
            </w:r>
          </w:p>
        </w:tc>
        <w:tc>
          <w:tcPr>
            <w:tcW w:w="873" w:type="dxa"/>
            <w:noWrap w:val="0"/>
            <w:vAlign w:val="center"/>
          </w:tcPr>
          <w:p w14:paraId="38B0A5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3</w:t>
            </w:r>
          </w:p>
        </w:tc>
        <w:tc>
          <w:tcPr>
            <w:tcW w:w="1418" w:type="dxa"/>
            <w:noWrap w:val="0"/>
            <w:vAlign w:val="center"/>
          </w:tcPr>
          <w:p w14:paraId="216513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CF1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58BA00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2AEC7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1E92BD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72EC4F4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地质灾害防治知识培训</w:t>
            </w:r>
          </w:p>
        </w:tc>
        <w:tc>
          <w:tcPr>
            <w:tcW w:w="1209" w:type="dxa"/>
            <w:shd w:val="clear" w:color="auto" w:fill="auto"/>
            <w:noWrap w:val="0"/>
            <w:vAlign w:val="center"/>
          </w:tcPr>
          <w:p w14:paraId="3ABEB1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≥2次</w:t>
            </w:r>
          </w:p>
        </w:tc>
        <w:tc>
          <w:tcPr>
            <w:tcW w:w="1134" w:type="dxa"/>
            <w:shd w:val="clear" w:color="auto" w:fill="auto"/>
            <w:noWrap w:val="0"/>
            <w:vAlign w:val="center"/>
          </w:tcPr>
          <w:p w14:paraId="4C54BA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2次</w:t>
            </w:r>
          </w:p>
        </w:tc>
        <w:tc>
          <w:tcPr>
            <w:tcW w:w="828" w:type="dxa"/>
            <w:noWrap w:val="0"/>
            <w:vAlign w:val="center"/>
          </w:tcPr>
          <w:p w14:paraId="50DF25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873" w:type="dxa"/>
            <w:noWrap w:val="0"/>
            <w:vAlign w:val="center"/>
          </w:tcPr>
          <w:p w14:paraId="0CE22D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w:t>
            </w:r>
          </w:p>
        </w:tc>
        <w:tc>
          <w:tcPr>
            <w:tcW w:w="1418" w:type="dxa"/>
            <w:noWrap w:val="0"/>
            <w:vAlign w:val="center"/>
          </w:tcPr>
          <w:p w14:paraId="797822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2ED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5F527E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E9864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4361C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14FB60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地质灾害应急演练</w:t>
            </w:r>
          </w:p>
        </w:tc>
        <w:tc>
          <w:tcPr>
            <w:tcW w:w="1209" w:type="dxa"/>
            <w:shd w:val="clear" w:color="auto" w:fill="auto"/>
            <w:noWrap w:val="0"/>
            <w:vAlign w:val="center"/>
          </w:tcPr>
          <w:p w14:paraId="0D8410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≥1次</w:t>
            </w:r>
          </w:p>
        </w:tc>
        <w:tc>
          <w:tcPr>
            <w:tcW w:w="1134" w:type="dxa"/>
            <w:shd w:val="clear" w:color="auto" w:fill="auto"/>
            <w:noWrap w:val="0"/>
            <w:vAlign w:val="center"/>
          </w:tcPr>
          <w:p w14:paraId="1F7275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1次</w:t>
            </w:r>
          </w:p>
        </w:tc>
        <w:tc>
          <w:tcPr>
            <w:tcW w:w="828" w:type="dxa"/>
            <w:noWrap w:val="0"/>
            <w:vAlign w:val="center"/>
          </w:tcPr>
          <w:p w14:paraId="68A86E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3</w:t>
            </w:r>
          </w:p>
        </w:tc>
        <w:tc>
          <w:tcPr>
            <w:tcW w:w="873" w:type="dxa"/>
            <w:noWrap w:val="0"/>
            <w:vAlign w:val="center"/>
          </w:tcPr>
          <w:p w14:paraId="3DA1B1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bidi="ar-SA"/>
              </w:rPr>
              <w:t>3</w:t>
            </w:r>
          </w:p>
        </w:tc>
        <w:tc>
          <w:tcPr>
            <w:tcW w:w="1418" w:type="dxa"/>
            <w:noWrap w:val="0"/>
            <w:vAlign w:val="center"/>
          </w:tcPr>
          <w:p w14:paraId="3FFD33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8CA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4A6808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07E7E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5C7F6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shd w:val="clear" w:color="auto" w:fill="auto"/>
            <w:noWrap w:val="0"/>
            <w:vAlign w:val="center"/>
          </w:tcPr>
          <w:p w14:paraId="38802C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地质灾害应急演练、宣传覆盖率</w:t>
            </w:r>
          </w:p>
        </w:tc>
        <w:tc>
          <w:tcPr>
            <w:tcW w:w="1209" w:type="dxa"/>
            <w:shd w:val="clear" w:color="auto" w:fill="auto"/>
            <w:noWrap w:val="0"/>
            <w:vAlign w:val="center"/>
          </w:tcPr>
          <w:p w14:paraId="39F8AA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425BC6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100%</w:t>
            </w:r>
          </w:p>
        </w:tc>
        <w:tc>
          <w:tcPr>
            <w:tcW w:w="828" w:type="dxa"/>
            <w:shd w:val="clear" w:color="auto" w:fill="auto"/>
            <w:noWrap w:val="0"/>
            <w:vAlign w:val="center"/>
          </w:tcPr>
          <w:p w14:paraId="36E12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w:t>
            </w:r>
          </w:p>
        </w:tc>
        <w:tc>
          <w:tcPr>
            <w:tcW w:w="873" w:type="dxa"/>
            <w:shd w:val="clear" w:color="auto" w:fill="auto"/>
            <w:noWrap w:val="0"/>
            <w:vAlign w:val="center"/>
          </w:tcPr>
          <w:p w14:paraId="22ABC1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w:t>
            </w:r>
          </w:p>
        </w:tc>
        <w:tc>
          <w:tcPr>
            <w:tcW w:w="1418" w:type="dxa"/>
            <w:shd w:val="clear" w:color="auto" w:fill="auto"/>
            <w:noWrap w:val="0"/>
            <w:vAlign w:val="center"/>
          </w:tcPr>
          <w:p w14:paraId="0ECDA6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0993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5C17D6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33D11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72C82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4E6254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监测设备在线率</w:t>
            </w:r>
          </w:p>
        </w:tc>
        <w:tc>
          <w:tcPr>
            <w:tcW w:w="1209" w:type="dxa"/>
            <w:shd w:val="clear" w:color="auto" w:fill="auto"/>
            <w:noWrap w:val="0"/>
            <w:vAlign w:val="center"/>
          </w:tcPr>
          <w:p w14:paraId="05C2E5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04CC3E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92%</w:t>
            </w:r>
          </w:p>
        </w:tc>
        <w:tc>
          <w:tcPr>
            <w:tcW w:w="828" w:type="dxa"/>
            <w:shd w:val="clear" w:color="auto" w:fill="auto"/>
            <w:noWrap w:val="0"/>
            <w:vAlign w:val="center"/>
          </w:tcPr>
          <w:p w14:paraId="13A37C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w:t>
            </w:r>
          </w:p>
        </w:tc>
        <w:tc>
          <w:tcPr>
            <w:tcW w:w="873" w:type="dxa"/>
            <w:shd w:val="clear" w:color="auto" w:fill="auto"/>
            <w:noWrap w:val="0"/>
            <w:vAlign w:val="center"/>
          </w:tcPr>
          <w:p w14:paraId="3A6253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w:t>
            </w:r>
          </w:p>
        </w:tc>
        <w:tc>
          <w:tcPr>
            <w:tcW w:w="1418" w:type="dxa"/>
            <w:shd w:val="clear" w:color="auto" w:fill="auto"/>
            <w:noWrap w:val="0"/>
            <w:vAlign w:val="center"/>
          </w:tcPr>
          <w:p w14:paraId="00C959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333C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2B4B4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08F0B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96476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3E0D5C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及时完成情况</w:t>
            </w:r>
          </w:p>
        </w:tc>
        <w:tc>
          <w:tcPr>
            <w:tcW w:w="1209" w:type="dxa"/>
            <w:noWrap w:val="0"/>
            <w:vAlign w:val="center"/>
          </w:tcPr>
          <w:p w14:paraId="026230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2024年12月31日之前</w:t>
            </w:r>
          </w:p>
        </w:tc>
        <w:tc>
          <w:tcPr>
            <w:tcW w:w="1134" w:type="dxa"/>
            <w:noWrap w:val="0"/>
            <w:vAlign w:val="center"/>
          </w:tcPr>
          <w:p w14:paraId="3ADF62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2024年12月31日之前</w:t>
            </w:r>
          </w:p>
        </w:tc>
        <w:tc>
          <w:tcPr>
            <w:tcW w:w="828" w:type="dxa"/>
            <w:noWrap w:val="0"/>
            <w:vAlign w:val="center"/>
          </w:tcPr>
          <w:p w14:paraId="057CC2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6</w:t>
            </w:r>
          </w:p>
        </w:tc>
        <w:tc>
          <w:tcPr>
            <w:tcW w:w="873" w:type="dxa"/>
            <w:noWrap w:val="0"/>
            <w:vAlign w:val="center"/>
          </w:tcPr>
          <w:p w14:paraId="06896B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w:t>
            </w:r>
          </w:p>
        </w:tc>
        <w:tc>
          <w:tcPr>
            <w:tcW w:w="1418" w:type="dxa"/>
            <w:noWrap w:val="0"/>
            <w:vAlign w:val="center"/>
          </w:tcPr>
          <w:p w14:paraId="140C30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641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BB8CB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EDA57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71DCD5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D972F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4AC12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214B14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最大限度减少灾害损失</w:t>
            </w:r>
          </w:p>
        </w:tc>
        <w:tc>
          <w:tcPr>
            <w:tcW w:w="1209" w:type="dxa"/>
            <w:shd w:val="clear" w:color="auto" w:fill="auto"/>
            <w:noWrap w:val="0"/>
            <w:vAlign w:val="center"/>
          </w:tcPr>
          <w:p w14:paraId="16E410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54C8C7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效果良好</w:t>
            </w:r>
          </w:p>
        </w:tc>
        <w:tc>
          <w:tcPr>
            <w:tcW w:w="828" w:type="dxa"/>
            <w:shd w:val="clear" w:color="auto" w:fill="auto"/>
            <w:noWrap w:val="0"/>
            <w:vAlign w:val="center"/>
          </w:tcPr>
          <w:p w14:paraId="464F18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184E8D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w:t>
            </w:r>
          </w:p>
        </w:tc>
        <w:tc>
          <w:tcPr>
            <w:tcW w:w="1418" w:type="dxa"/>
            <w:shd w:val="clear" w:color="auto" w:fill="auto"/>
            <w:noWrap w:val="0"/>
            <w:vAlign w:val="center"/>
          </w:tcPr>
          <w:p w14:paraId="21BD45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77E2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080" w:type="dxa"/>
            <w:vMerge w:val="continue"/>
            <w:noWrap w:val="0"/>
            <w:vAlign w:val="center"/>
          </w:tcPr>
          <w:p w14:paraId="79B288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1F1B6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3B4D4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744C1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4D75EC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监测预警区地质灾害防范能力</w:t>
            </w:r>
          </w:p>
        </w:tc>
        <w:tc>
          <w:tcPr>
            <w:tcW w:w="1209" w:type="dxa"/>
            <w:shd w:val="clear" w:color="auto" w:fill="auto"/>
            <w:noWrap w:val="0"/>
            <w:vAlign w:val="center"/>
          </w:tcPr>
          <w:p w14:paraId="10F25D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有所提高</w:t>
            </w:r>
          </w:p>
        </w:tc>
        <w:tc>
          <w:tcPr>
            <w:tcW w:w="1134" w:type="dxa"/>
            <w:shd w:val="clear" w:color="auto" w:fill="auto"/>
            <w:noWrap w:val="0"/>
            <w:vAlign w:val="center"/>
          </w:tcPr>
          <w:p w14:paraId="663341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有所提高</w:t>
            </w:r>
          </w:p>
        </w:tc>
        <w:tc>
          <w:tcPr>
            <w:tcW w:w="828" w:type="dxa"/>
            <w:shd w:val="clear" w:color="auto" w:fill="auto"/>
            <w:noWrap w:val="0"/>
            <w:vAlign w:val="center"/>
          </w:tcPr>
          <w:p w14:paraId="591D2D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1F443D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2976D7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7941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3ACB5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C10A2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23C95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1C3D23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群众防灾避险意识和临灾避险能力</w:t>
            </w:r>
          </w:p>
        </w:tc>
        <w:tc>
          <w:tcPr>
            <w:tcW w:w="1209" w:type="dxa"/>
            <w:shd w:val="clear" w:color="auto" w:fill="auto"/>
            <w:noWrap w:val="0"/>
            <w:vAlign w:val="center"/>
          </w:tcPr>
          <w:p w14:paraId="2E5BD6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有所提高</w:t>
            </w:r>
          </w:p>
        </w:tc>
        <w:tc>
          <w:tcPr>
            <w:tcW w:w="1134" w:type="dxa"/>
            <w:shd w:val="clear" w:color="auto" w:fill="auto"/>
            <w:noWrap w:val="0"/>
            <w:vAlign w:val="center"/>
          </w:tcPr>
          <w:p w14:paraId="3134DD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有所提高</w:t>
            </w:r>
          </w:p>
        </w:tc>
        <w:tc>
          <w:tcPr>
            <w:tcW w:w="828" w:type="dxa"/>
            <w:shd w:val="clear" w:color="auto" w:fill="auto"/>
            <w:noWrap w:val="0"/>
            <w:vAlign w:val="center"/>
          </w:tcPr>
          <w:p w14:paraId="505195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79160E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755D2E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6DB0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16B01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A5C60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C6A5A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1BDB89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工程治理区群众生命财产安全保障</w:t>
            </w:r>
          </w:p>
        </w:tc>
        <w:tc>
          <w:tcPr>
            <w:tcW w:w="1209" w:type="dxa"/>
            <w:shd w:val="clear" w:color="auto" w:fill="auto"/>
            <w:noWrap w:val="0"/>
            <w:vAlign w:val="center"/>
          </w:tcPr>
          <w:p w14:paraId="1DEADF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有所提升</w:t>
            </w:r>
          </w:p>
        </w:tc>
        <w:tc>
          <w:tcPr>
            <w:tcW w:w="1134" w:type="dxa"/>
            <w:shd w:val="clear" w:color="auto" w:fill="auto"/>
            <w:noWrap w:val="0"/>
            <w:vAlign w:val="center"/>
          </w:tcPr>
          <w:p w14:paraId="0F46CC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有所提升</w:t>
            </w:r>
          </w:p>
        </w:tc>
        <w:tc>
          <w:tcPr>
            <w:tcW w:w="828" w:type="dxa"/>
            <w:shd w:val="clear" w:color="auto" w:fill="auto"/>
            <w:noWrap w:val="0"/>
            <w:vAlign w:val="center"/>
          </w:tcPr>
          <w:p w14:paraId="3C67C2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4E963B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1FD89B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1C05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1FD3D9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5B9D3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AA91E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B083D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716902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推进全市地质灾害防治发展和生态保护修复</w:t>
            </w:r>
          </w:p>
        </w:tc>
        <w:tc>
          <w:tcPr>
            <w:tcW w:w="1209" w:type="dxa"/>
            <w:shd w:val="clear" w:color="auto" w:fill="auto"/>
            <w:noWrap w:val="0"/>
            <w:vAlign w:val="center"/>
          </w:tcPr>
          <w:p w14:paraId="35A689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440487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36892E08">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2A14E2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611902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1029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645071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1F8E3A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E2BC7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4D4C32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推动全市地质灾害防治、矿产资源可持续发展</w:t>
            </w:r>
          </w:p>
        </w:tc>
        <w:tc>
          <w:tcPr>
            <w:tcW w:w="1209" w:type="dxa"/>
            <w:shd w:val="clear" w:color="auto" w:fill="auto"/>
            <w:noWrap w:val="0"/>
            <w:vAlign w:val="center"/>
          </w:tcPr>
          <w:p w14:paraId="6F7D26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3F6B0C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6375F3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61714D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shd w:val="clear" w:color="auto" w:fill="auto"/>
            <w:noWrap w:val="0"/>
            <w:vAlign w:val="center"/>
          </w:tcPr>
          <w:p w14:paraId="427232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0A5E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377004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F980E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1CAA83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CF870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4FC74E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shd w:val="clear" w:color="auto" w:fill="auto"/>
            <w:noWrap w:val="0"/>
            <w:vAlign w:val="center"/>
          </w:tcPr>
          <w:p w14:paraId="0525BC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社会公众满意度</w:t>
            </w:r>
          </w:p>
        </w:tc>
        <w:tc>
          <w:tcPr>
            <w:tcW w:w="1209" w:type="dxa"/>
            <w:shd w:val="clear" w:color="auto" w:fill="auto"/>
            <w:noWrap w:val="0"/>
            <w:vAlign w:val="center"/>
          </w:tcPr>
          <w:p w14:paraId="2F8836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429285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95%</w:t>
            </w:r>
          </w:p>
        </w:tc>
        <w:tc>
          <w:tcPr>
            <w:tcW w:w="828" w:type="dxa"/>
            <w:shd w:val="clear" w:color="auto" w:fill="auto"/>
            <w:noWrap w:val="0"/>
            <w:vAlign w:val="center"/>
          </w:tcPr>
          <w:p w14:paraId="365158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4484C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5D75D3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4C2B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13D845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2CFC21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283AEE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w:t>
            </w:r>
          </w:p>
        </w:tc>
        <w:tc>
          <w:tcPr>
            <w:tcW w:w="1418" w:type="dxa"/>
            <w:noWrap w:val="0"/>
            <w:vAlign w:val="center"/>
          </w:tcPr>
          <w:p w14:paraId="2AD1D6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2ACAFAB7">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李洪妮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2025.6.4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：15307455303</w:t>
      </w:r>
    </w:p>
    <w:p w14:paraId="0F7FB745">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62A893F4">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4B74FE68">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26D7EBE2">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15CF8C1B">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231F235F">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408EB4C0">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4EF4F3F8">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455E3EC4">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2409A317">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106D3DAE">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14:paraId="07F597A4">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14:paraId="5ED222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附件3-5</w:t>
      </w:r>
    </w:p>
    <w:p w14:paraId="36322B2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7A67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2646F5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7740D8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3EA8B6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关于提前下达2024年自然资源专项资金的通知（地质灾害气象风险预警）</w:t>
            </w:r>
          </w:p>
        </w:tc>
      </w:tr>
      <w:tr w14:paraId="7CA9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1FF952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1EFE90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 xml:space="preserve"> 怀化市自然资源和规划局</w:t>
            </w:r>
          </w:p>
        </w:tc>
        <w:tc>
          <w:tcPr>
            <w:tcW w:w="1134" w:type="dxa"/>
            <w:noWrap w:val="0"/>
            <w:vAlign w:val="center"/>
          </w:tcPr>
          <w:p w14:paraId="1997C5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0FF1ED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怀化市地质灾害防治中心</w:t>
            </w:r>
          </w:p>
        </w:tc>
      </w:tr>
      <w:tr w14:paraId="50D1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327E54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31695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5DC453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22CB8C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5342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522EEB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14ADF1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AF0EE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667B33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2F9D8F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19708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994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D9266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45E76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051E4F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49B6D6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134" w:type="dxa"/>
            <w:noWrap w:val="0"/>
            <w:vAlign w:val="center"/>
          </w:tcPr>
          <w:p w14:paraId="26E267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28" w:type="dxa"/>
            <w:noWrap w:val="0"/>
            <w:vAlign w:val="center"/>
          </w:tcPr>
          <w:p w14:paraId="63918B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0929A4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0297BE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2C96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4F13C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92B73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45C228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435731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134" w:type="dxa"/>
            <w:noWrap w:val="0"/>
            <w:vAlign w:val="center"/>
          </w:tcPr>
          <w:p w14:paraId="0F1C44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28" w:type="dxa"/>
            <w:noWrap w:val="0"/>
            <w:vAlign w:val="center"/>
          </w:tcPr>
          <w:p w14:paraId="5BCF5D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7EA7D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292E9D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144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C8BEC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41F48B3">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719DF9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68C56B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3875E4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667208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5E3AD8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0213B4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5C17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51CF2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697E210">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2D20AA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09" w:type="dxa"/>
            <w:noWrap w:val="0"/>
            <w:vAlign w:val="center"/>
          </w:tcPr>
          <w:p w14:paraId="20BBCB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34" w:type="dxa"/>
            <w:noWrap w:val="0"/>
            <w:vAlign w:val="center"/>
          </w:tcPr>
          <w:p w14:paraId="6B2606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28" w:type="dxa"/>
            <w:noWrap w:val="0"/>
            <w:vAlign w:val="center"/>
          </w:tcPr>
          <w:p w14:paraId="3C4EE9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0725D8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4486AA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273B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F72D3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16456D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4A9617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4511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10203F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71110F3">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及时推送预警信息到点到户到人。　</w:t>
            </w:r>
          </w:p>
        </w:tc>
        <w:tc>
          <w:tcPr>
            <w:tcW w:w="4253" w:type="dxa"/>
            <w:gridSpan w:val="4"/>
            <w:noWrap w:val="0"/>
            <w:vAlign w:val="center"/>
          </w:tcPr>
          <w:p w14:paraId="3E57B2C9">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地灾防治指挥中心加强与气象、应急等部门会商研判，坚持每天不少于2次的气象调度，严格落实“6小时预报、3小时预警、1小时呼叫、半小时再呼应”机制，实施地质灾害风险递进式精准预警，及时推送预警信息到点到户到人，确保地质灾害预警信息叫应形成闭环。全年制作发布地质灾害气象风险预警信息32期，发送预警短信217.8余万条，发布避险转移指令140份。</w:t>
            </w:r>
          </w:p>
        </w:tc>
      </w:tr>
      <w:tr w14:paraId="0143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06F4A1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9B5F3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6469C6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292BAC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522F1F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59D905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71E4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4149CD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F3CD7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2C5426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59732A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350B9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3CC6EE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F7180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E34AF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0A1CCA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B77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AFFC6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C1C24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2B8D01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0B475A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190E39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≤10万元</w:t>
            </w:r>
          </w:p>
        </w:tc>
        <w:tc>
          <w:tcPr>
            <w:tcW w:w="1134" w:type="dxa"/>
            <w:noWrap w:val="0"/>
            <w:vAlign w:val="center"/>
          </w:tcPr>
          <w:p w14:paraId="3B511C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10万元</w:t>
            </w:r>
          </w:p>
        </w:tc>
        <w:tc>
          <w:tcPr>
            <w:tcW w:w="828" w:type="dxa"/>
            <w:noWrap w:val="0"/>
            <w:vAlign w:val="center"/>
          </w:tcPr>
          <w:p w14:paraId="472343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4AFCA3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800E2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9E0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5DAF3B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D7B04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5187A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03EF8E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209" w:type="dxa"/>
            <w:noWrap w:val="0"/>
            <w:vAlign w:val="center"/>
          </w:tcPr>
          <w:p w14:paraId="49EAFD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0EA865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414A05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30389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D9F7B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5BC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0DCFA6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A8480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77010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230E6C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286CB2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537693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828" w:type="dxa"/>
            <w:noWrap w:val="0"/>
            <w:vAlign w:val="center"/>
          </w:tcPr>
          <w:p w14:paraId="623C2D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873" w:type="dxa"/>
            <w:noWrap w:val="0"/>
            <w:vAlign w:val="center"/>
          </w:tcPr>
          <w:p w14:paraId="693B48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p>
        </w:tc>
        <w:tc>
          <w:tcPr>
            <w:tcW w:w="1418" w:type="dxa"/>
            <w:noWrap w:val="0"/>
            <w:vAlign w:val="center"/>
          </w:tcPr>
          <w:p w14:paraId="2F168C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986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427581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D2FD1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248F34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D7E34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shd w:val="clear" w:color="auto" w:fill="auto"/>
            <w:noWrap w:val="0"/>
            <w:vAlign w:val="center"/>
          </w:tcPr>
          <w:p w14:paraId="7BDDC2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发送预警短信</w:t>
            </w:r>
          </w:p>
        </w:tc>
        <w:tc>
          <w:tcPr>
            <w:tcW w:w="1209" w:type="dxa"/>
            <w:shd w:val="clear" w:color="auto" w:fill="auto"/>
            <w:noWrap w:val="0"/>
            <w:vAlign w:val="center"/>
          </w:tcPr>
          <w:p w14:paraId="2FB082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≥200万条</w:t>
            </w:r>
          </w:p>
        </w:tc>
        <w:tc>
          <w:tcPr>
            <w:tcW w:w="1134" w:type="dxa"/>
            <w:shd w:val="clear" w:color="auto" w:fill="auto"/>
            <w:noWrap w:val="0"/>
            <w:vAlign w:val="center"/>
          </w:tcPr>
          <w:p w14:paraId="55DCC2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217.8余万条</w:t>
            </w:r>
          </w:p>
        </w:tc>
        <w:tc>
          <w:tcPr>
            <w:tcW w:w="828" w:type="dxa"/>
            <w:noWrap w:val="0"/>
            <w:vAlign w:val="center"/>
          </w:tcPr>
          <w:p w14:paraId="15D4E5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56F0E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30AD4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71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71A314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D6826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F58D3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shd w:val="clear" w:color="auto" w:fill="auto"/>
            <w:noWrap w:val="0"/>
            <w:vAlign w:val="center"/>
          </w:tcPr>
          <w:p w14:paraId="3488B4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预警信息准确率</w:t>
            </w:r>
          </w:p>
        </w:tc>
        <w:tc>
          <w:tcPr>
            <w:tcW w:w="1209" w:type="dxa"/>
            <w:shd w:val="clear" w:color="auto" w:fill="auto"/>
            <w:noWrap w:val="0"/>
            <w:vAlign w:val="center"/>
          </w:tcPr>
          <w:p w14:paraId="7B8CCF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≥85%</w:t>
            </w:r>
          </w:p>
        </w:tc>
        <w:tc>
          <w:tcPr>
            <w:tcW w:w="1134" w:type="dxa"/>
            <w:shd w:val="clear" w:color="auto" w:fill="auto"/>
            <w:noWrap w:val="0"/>
            <w:vAlign w:val="center"/>
          </w:tcPr>
          <w:p w14:paraId="4430DB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85%</w:t>
            </w:r>
          </w:p>
        </w:tc>
        <w:tc>
          <w:tcPr>
            <w:tcW w:w="828" w:type="dxa"/>
            <w:shd w:val="clear" w:color="auto" w:fill="auto"/>
            <w:noWrap w:val="0"/>
            <w:vAlign w:val="center"/>
          </w:tcPr>
          <w:p w14:paraId="70A9BF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873" w:type="dxa"/>
            <w:shd w:val="clear" w:color="auto" w:fill="auto"/>
            <w:noWrap w:val="0"/>
            <w:vAlign w:val="center"/>
          </w:tcPr>
          <w:p w14:paraId="525A76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1418" w:type="dxa"/>
            <w:shd w:val="clear" w:color="auto" w:fill="auto"/>
            <w:noWrap w:val="0"/>
            <w:vAlign w:val="center"/>
          </w:tcPr>
          <w:p w14:paraId="733204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624C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50E968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35BB7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09D37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shd w:val="clear" w:color="auto" w:fill="auto"/>
            <w:noWrap w:val="0"/>
            <w:vAlign w:val="center"/>
          </w:tcPr>
          <w:p w14:paraId="33BF7B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预警信息推送覆盖率</w:t>
            </w:r>
          </w:p>
        </w:tc>
        <w:tc>
          <w:tcPr>
            <w:tcW w:w="1209" w:type="dxa"/>
            <w:shd w:val="clear" w:color="auto" w:fill="auto"/>
            <w:noWrap w:val="0"/>
            <w:vAlign w:val="center"/>
          </w:tcPr>
          <w:p w14:paraId="63911A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100%</w:t>
            </w:r>
          </w:p>
        </w:tc>
        <w:tc>
          <w:tcPr>
            <w:tcW w:w="1134" w:type="dxa"/>
            <w:shd w:val="clear" w:color="auto" w:fill="auto"/>
            <w:noWrap w:val="0"/>
            <w:vAlign w:val="center"/>
          </w:tcPr>
          <w:p w14:paraId="568B6D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100%</w:t>
            </w:r>
          </w:p>
        </w:tc>
        <w:tc>
          <w:tcPr>
            <w:tcW w:w="828" w:type="dxa"/>
            <w:shd w:val="clear" w:color="auto" w:fill="auto"/>
            <w:noWrap w:val="0"/>
            <w:vAlign w:val="center"/>
          </w:tcPr>
          <w:p w14:paraId="44393D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873" w:type="dxa"/>
            <w:shd w:val="clear" w:color="auto" w:fill="auto"/>
            <w:noWrap w:val="0"/>
            <w:vAlign w:val="center"/>
          </w:tcPr>
          <w:p w14:paraId="7CBFED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1418" w:type="dxa"/>
            <w:shd w:val="clear" w:color="auto" w:fill="auto"/>
            <w:noWrap w:val="0"/>
            <w:vAlign w:val="center"/>
          </w:tcPr>
          <w:p w14:paraId="597018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2F16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4E8CA7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57751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61FBB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79D137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预警信息推送及时率</w:t>
            </w:r>
          </w:p>
        </w:tc>
        <w:tc>
          <w:tcPr>
            <w:tcW w:w="1209" w:type="dxa"/>
            <w:noWrap w:val="0"/>
            <w:vAlign w:val="center"/>
          </w:tcPr>
          <w:p w14:paraId="5DA66B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0736A1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743C52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FA0C6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C8794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101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80" w:type="dxa"/>
            <w:vMerge w:val="continue"/>
            <w:noWrap w:val="0"/>
            <w:vAlign w:val="center"/>
          </w:tcPr>
          <w:p w14:paraId="7EE24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93E4B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6C90FF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EDF75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54210F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04A2D8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最大限度减少灾害损失</w:t>
            </w:r>
          </w:p>
        </w:tc>
        <w:tc>
          <w:tcPr>
            <w:tcW w:w="1209" w:type="dxa"/>
            <w:shd w:val="clear" w:color="auto" w:fill="auto"/>
            <w:noWrap w:val="0"/>
            <w:vAlign w:val="center"/>
          </w:tcPr>
          <w:p w14:paraId="3BAF99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0C8849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效果良好</w:t>
            </w:r>
          </w:p>
        </w:tc>
        <w:tc>
          <w:tcPr>
            <w:tcW w:w="828" w:type="dxa"/>
            <w:shd w:val="clear" w:color="auto" w:fill="auto"/>
            <w:noWrap w:val="0"/>
            <w:vAlign w:val="center"/>
          </w:tcPr>
          <w:p w14:paraId="35FACA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5807D9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8</w:t>
            </w:r>
          </w:p>
        </w:tc>
        <w:tc>
          <w:tcPr>
            <w:tcW w:w="1418" w:type="dxa"/>
            <w:shd w:val="clear" w:color="auto" w:fill="auto"/>
            <w:noWrap w:val="0"/>
            <w:vAlign w:val="center"/>
          </w:tcPr>
          <w:p w14:paraId="36DF34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17CC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C18CD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5225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E5FDF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1AAD21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3E1B96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提高群众防灾避险意识和临灾避险能力</w:t>
            </w:r>
          </w:p>
        </w:tc>
        <w:tc>
          <w:tcPr>
            <w:tcW w:w="1209" w:type="dxa"/>
            <w:shd w:val="clear" w:color="auto" w:fill="auto"/>
            <w:noWrap w:val="0"/>
            <w:vAlign w:val="center"/>
          </w:tcPr>
          <w:p w14:paraId="32A6CE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232456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755485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7A91DC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4A0AEF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p>
        </w:tc>
      </w:tr>
      <w:tr w14:paraId="463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B57F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A0821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E5DD5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10BA8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0A0245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不适用</w:t>
            </w:r>
          </w:p>
        </w:tc>
        <w:tc>
          <w:tcPr>
            <w:tcW w:w="1209" w:type="dxa"/>
            <w:shd w:val="clear" w:color="auto" w:fill="auto"/>
            <w:noWrap w:val="0"/>
            <w:vAlign w:val="center"/>
          </w:tcPr>
          <w:p w14:paraId="108B1AB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bidi="ar-SA"/>
              </w:rPr>
            </w:pPr>
          </w:p>
        </w:tc>
        <w:tc>
          <w:tcPr>
            <w:tcW w:w="1134" w:type="dxa"/>
            <w:shd w:val="clear" w:color="auto" w:fill="auto"/>
            <w:noWrap w:val="0"/>
            <w:vAlign w:val="center"/>
          </w:tcPr>
          <w:p w14:paraId="4F936ED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bidi="ar-SA"/>
              </w:rPr>
            </w:pPr>
          </w:p>
        </w:tc>
        <w:tc>
          <w:tcPr>
            <w:tcW w:w="828" w:type="dxa"/>
            <w:shd w:val="clear" w:color="auto" w:fill="auto"/>
            <w:noWrap w:val="0"/>
            <w:vAlign w:val="center"/>
          </w:tcPr>
          <w:p w14:paraId="79CEFC31">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仿宋" w:hAnsi="仿宋" w:eastAsia="仿宋" w:cs="仿宋"/>
                <w:color w:val="000000"/>
                <w:kern w:val="0"/>
                <w:sz w:val="20"/>
                <w:szCs w:val="20"/>
                <w:lang w:val="en-US" w:eastAsia="zh-CN" w:bidi="ar-SA"/>
              </w:rPr>
            </w:pPr>
          </w:p>
        </w:tc>
        <w:tc>
          <w:tcPr>
            <w:tcW w:w="873" w:type="dxa"/>
            <w:shd w:val="clear" w:color="auto" w:fill="auto"/>
            <w:noWrap w:val="0"/>
            <w:vAlign w:val="center"/>
          </w:tcPr>
          <w:p w14:paraId="5851A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p>
        </w:tc>
        <w:tc>
          <w:tcPr>
            <w:tcW w:w="1418" w:type="dxa"/>
            <w:shd w:val="clear" w:color="auto" w:fill="auto"/>
            <w:noWrap w:val="0"/>
            <w:vAlign w:val="center"/>
          </w:tcPr>
          <w:p w14:paraId="2EEB189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583D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0D64F7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48AC9C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0BEAC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shd w:val="clear" w:color="auto" w:fill="auto"/>
            <w:noWrap w:val="0"/>
            <w:vAlign w:val="center"/>
          </w:tcPr>
          <w:p w14:paraId="73B832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推动全市地质灾害防治可持续发展</w:t>
            </w:r>
          </w:p>
        </w:tc>
        <w:tc>
          <w:tcPr>
            <w:tcW w:w="1209" w:type="dxa"/>
            <w:shd w:val="clear" w:color="auto" w:fill="auto"/>
            <w:noWrap w:val="0"/>
            <w:vAlign w:val="center"/>
          </w:tcPr>
          <w:p w14:paraId="405DBE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3B847F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2625A2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1F9107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11AAA9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406D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244FB1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0CEF3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47563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46850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2F89D8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shd w:val="clear" w:color="auto" w:fill="auto"/>
            <w:noWrap w:val="0"/>
            <w:vAlign w:val="center"/>
          </w:tcPr>
          <w:p w14:paraId="39C294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社会公众满意度</w:t>
            </w:r>
          </w:p>
        </w:tc>
        <w:tc>
          <w:tcPr>
            <w:tcW w:w="1209" w:type="dxa"/>
            <w:shd w:val="clear" w:color="auto" w:fill="auto"/>
            <w:noWrap w:val="0"/>
            <w:vAlign w:val="center"/>
          </w:tcPr>
          <w:p w14:paraId="1F2261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1615AC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95%</w:t>
            </w:r>
          </w:p>
        </w:tc>
        <w:tc>
          <w:tcPr>
            <w:tcW w:w="828" w:type="dxa"/>
            <w:shd w:val="clear" w:color="auto" w:fill="auto"/>
            <w:noWrap w:val="0"/>
            <w:vAlign w:val="center"/>
          </w:tcPr>
          <w:p w14:paraId="499296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25958A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shd w:val="clear" w:color="auto" w:fill="auto"/>
            <w:noWrap w:val="0"/>
            <w:vAlign w:val="center"/>
          </w:tcPr>
          <w:p w14:paraId="52843F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　</w:t>
            </w:r>
          </w:p>
        </w:tc>
      </w:tr>
      <w:tr w14:paraId="5423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2D53B4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17D876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40CAEC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1418" w:type="dxa"/>
            <w:noWrap w:val="0"/>
            <w:vAlign w:val="center"/>
          </w:tcPr>
          <w:p w14:paraId="6DE0A8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DD2D61C">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李洪妮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2025.6.4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：15307455303</w:t>
      </w:r>
    </w:p>
    <w:p w14:paraId="41866468">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sectPr>
          <w:footerReference r:id="rId3" w:type="default"/>
          <w:pgSz w:w="11906" w:h="16838"/>
          <w:pgMar w:top="2098" w:right="1800" w:bottom="1984" w:left="1587" w:header="851" w:footer="992" w:gutter="0"/>
          <w:cols w:space="425" w:num="1"/>
          <w:docGrid w:type="lines" w:linePitch="312" w:charSpace="0"/>
        </w:sect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4"/>
        <w:gridCol w:w="4394"/>
        <w:gridCol w:w="1084"/>
        <w:gridCol w:w="1244"/>
        <w:gridCol w:w="1071"/>
        <w:gridCol w:w="1314"/>
        <w:gridCol w:w="1253"/>
        <w:gridCol w:w="996"/>
      </w:tblGrid>
      <w:tr w14:paraId="1C16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8"/>
            <w:tcBorders>
              <w:top w:val="nil"/>
              <w:left w:val="nil"/>
              <w:bottom w:val="nil"/>
              <w:right w:val="nil"/>
            </w:tcBorders>
            <w:shd w:val="clear" w:color="auto" w:fill="auto"/>
            <w:noWrap/>
            <w:vAlign w:val="bottom"/>
          </w:tcPr>
          <w:p w14:paraId="5743369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政府性基金预算支出情况表</w:t>
            </w:r>
          </w:p>
        </w:tc>
      </w:tr>
      <w:tr w14:paraId="2778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2316" w:type="pct"/>
            <w:gridSpan w:val="2"/>
            <w:tcBorders>
              <w:top w:val="nil"/>
              <w:left w:val="nil"/>
              <w:bottom w:val="nil"/>
              <w:right w:val="nil"/>
            </w:tcBorders>
            <w:shd w:val="clear" w:color="auto" w:fill="auto"/>
            <w:noWrap/>
            <w:vAlign w:val="bottom"/>
          </w:tcPr>
          <w:p w14:paraId="19C706C6">
            <w:pP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编制单位：怀化市地质灾害防治中心</w:t>
            </w:r>
          </w:p>
        </w:tc>
        <w:tc>
          <w:tcPr>
            <w:tcW w:w="417" w:type="pct"/>
            <w:tcBorders>
              <w:top w:val="nil"/>
              <w:left w:val="nil"/>
              <w:bottom w:val="nil"/>
              <w:right w:val="nil"/>
            </w:tcBorders>
            <w:shd w:val="clear" w:color="auto" w:fill="auto"/>
            <w:noWrap/>
            <w:vAlign w:val="bottom"/>
          </w:tcPr>
          <w:p w14:paraId="531C0E8D">
            <w:pPr>
              <w:rPr>
                <w:rFonts w:hint="eastAsia" w:ascii="仿宋" w:hAnsi="仿宋" w:eastAsia="仿宋" w:cs="仿宋"/>
                <w:i w:val="0"/>
                <w:iCs w:val="0"/>
                <w:color w:val="000000"/>
                <w:sz w:val="24"/>
                <w:szCs w:val="24"/>
                <w:u w:val="none"/>
              </w:rPr>
            </w:pPr>
          </w:p>
        </w:tc>
        <w:tc>
          <w:tcPr>
            <w:tcW w:w="479" w:type="pct"/>
            <w:tcBorders>
              <w:top w:val="nil"/>
              <w:left w:val="nil"/>
              <w:bottom w:val="nil"/>
              <w:right w:val="nil"/>
            </w:tcBorders>
            <w:shd w:val="clear" w:color="auto" w:fill="auto"/>
            <w:noWrap/>
            <w:vAlign w:val="bottom"/>
          </w:tcPr>
          <w:p w14:paraId="053C9D24">
            <w:pPr>
              <w:rPr>
                <w:rFonts w:hint="eastAsia" w:ascii="仿宋" w:hAnsi="仿宋" w:eastAsia="仿宋" w:cs="仿宋"/>
                <w:i w:val="0"/>
                <w:iCs w:val="0"/>
                <w:color w:val="000000"/>
                <w:sz w:val="24"/>
                <w:szCs w:val="24"/>
                <w:u w:val="none"/>
              </w:rPr>
            </w:pPr>
          </w:p>
        </w:tc>
        <w:tc>
          <w:tcPr>
            <w:tcW w:w="412" w:type="pct"/>
            <w:tcBorders>
              <w:top w:val="nil"/>
              <w:left w:val="nil"/>
              <w:bottom w:val="nil"/>
              <w:right w:val="nil"/>
            </w:tcBorders>
            <w:shd w:val="clear" w:color="auto" w:fill="auto"/>
            <w:noWrap/>
            <w:vAlign w:val="bottom"/>
          </w:tcPr>
          <w:p w14:paraId="4CAA7D94">
            <w:pPr>
              <w:rPr>
                <w:rFonts w:hint="eastAsia" w:ascii="仿宋" w:hAnsi="仿宋" w:eastAsia="仿宋" w:cs="仿宋"/>
                <w:i w:val="0"/>
                <w:iCs w:val="0"/>
                <w:color w:val="000000"/>
                <w:sz w:val="24"/>
                <w:szCs w:val="24"/>
                <w:u w:val="none"/>
              </w:rPr>
            </w:pPr>
          </w:p>
        </w:tc>
        <w:tc>
          <w:tcPr>
            <w:tcW w:w="506" w:type="pct"/>
            <w:tcBorders>
              <w:top w:val="nil"/>
              <w:left w:val="nil"/>
              <w:bottom w:val="nil"/>
              <w:right w:val="nil"/>
            </w:tcBorders>
            <w:shd w:val="clear" w:color="auto" w:fill="auto"/>
            <w:noWrap/>
            <w:vAlign w:val="bottom"/>
          </w:tcPr>
          <w:p w14:paraId="17E835B5">
            <w:pPr>
              <w:rPr>
                <w:rFonts w:hint="eastAsia" w:ascii="仿宋" w:hAnsi="仿宋" w:eastAsia="仿宋" w:cs="仿宋"/>
                <w:i w:val="0"/>
                <w:iCs w:val="0"/>
                <w:color w:val="000000"/>
                <w:sz w:val="24"/>
                <w:szCs w:val="24"/>
                <w:u w:val="none"/>
              </w:rPr>
            </w:pPr>
          </w:p>
        </w:tc>
        <w:tc>
          <w:tcPr>
            <w:tcW w:w="866" w:type="pct"/>
            <w:gridSpan w:val="2"/>
            <w:tcBorders>
              <w:top w:val="nil"/>
              <w:left w:val="nil"/>
              <w:bottom w:val="nil"/>
              <w:right w:val="nil"/>
            </w:tcBorders>
            <w:shd w:val="clear" w:color="auto" w:fill="auto"/>
            <w:noWrap/>
            <w:vAlign w:val="bottom"/>
          </w:tcPr>
          <w:p w14:paraId="4EAEFEF1">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金额单位：万元</w:t>
            </w:r>
          </w:p>
        </w:tc>
      </w:tr>
      <w:tr w14:paraId="3C1A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16"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9D1F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417" w:type="pct"/>
            <w:vMerge w:val="restart"/>
            <w:tcBorders>
              <w:top w:val="single" w:color="000000" w:sz="4" w:space="0"/>
              <w:left w:val="nil"/>
              <w:bottom w:val="single" w:color="000000" w:sz="4" w:space="0"/>
              <w:right w:val="single" w:color="000000" w:sz="4" w:space="0"/>
            </w:tcBorders>
            <w:shd w:val="clear" w:color="FFFFFF" w:fill="C0C0C0"/>
            <w:vAlign w:val="center"/>
          </w:tcPr>
          <w:p w14:paraId="2888E3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年初结转和结余</w:t>
            </w:r>
          </w:p>
        </w:tc>
        <w:tc>
          <w:tcPr>
            <w:tcW w:w="479" w:type="pct"/>
            <w:vMerge w:val="restart"/>
            <w:tcBorders>
              <w:top w:val="single" w:color="000000" w:sz="4" w:space="0"/>
              <w:left w:val="nil"/>
              <w:bottom w:val="single" w:color="000000" w:sz="4" w:space="0"/>
              <w:right w:val="single" w:color="000000" w:sz="4" w:space="0"/>
            </w:tcBorders>
            <w:shd w:val="clear" w:color="FFFFFF" w:fill="C0C0C0"/>
            <w:vAlign w:val="center"/>
          </w:tcPr>
          <w:p w14:paraId="4FC7C3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本年收入</w:t>
            </w:r>
          </w:p>
        </w:tc>
        <w:tc>
          <w:tcPr>
            <w:tcW w:w="1402" w:type="pct"/>
            <w:gridSpan w:val="3"/>
            <w:tcBorders>
              <w:top w:val="single" w:color="000000" w:sz="4" w:space="0"/>
              <w:left w:val="nil"/>
              <w:bottom w:val="single" w:color="000000" w:sz="4" w:space="0"/>
              <w:right w:val="single" w:color="000000" w:sz="4" w:space="0"/>
            </w:tcBorders>
            <w:shd w:val="clear" w:color="FFFFFF" w:fill="C0C0C0"/>
            <w:vAlign w:val="center"/>
          </w:tcPr>
          <w:p w14:paraId="29A12B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本年支出</w:t>
            </w:r>
          </w:p>
        </w:tc>
        <w:tc>
          <w:tcPr>
            <w:tcW w:w="383" w:type="pct"/>
            <w:vMerge w:val="restart"/>
            <w:tcBorders>
              <w:top w:val="single" w:color="000000" w:sz="4" w:space="0"/>
              <w:left w:val="nil"/>
              <w:bottom w:val="single" w:color="000000" w:sz="4" w:space="0"/>
              <w:right w:val="single" w:color="000000" w:sz="4" w:space="0"/>
            </w:tcBorders>
            <w:shd w:val="clear" w:color="FFFFFF" w:fill="C0C0C0"/>
            <w:vAlign w:val="center"/>
          </w:tcPr>
          <w:p w14:paraId="5E4EBC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年末结转和结余</w:t>
            </w:r>
          </w:p>
        </w:tc>
      </w:tr>
      <w:tr w14:paraId="77FD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vMerge w:val="restart"/>
            <w:tcBorders>
              <w:top w:val="nil"/>
              <w:left w:val="single" w:color="000000" w:sz="4" w:space="0"/>
              <w:bottom w:val="single" w:color="000000" w:sz="4" w:space="0"/>
              <w:right w:val="single" w:color="000000" w:sz="4" w:space="0"/>
            </w:tcBorders>
            <w:shd w:val="clear" w:color="FFFFFF" w:fill="C0C0C0"/>
            <w:vAlign w:val="center"/>
          </w:tcPr>
          <w:p w14:paraId="58BEA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科目代码</w:t>
            </w:r>
          </w:p>
        </w:tc>
        <w:tc>
          <w:tcPr>
            <w:tcW w:w="1694" w:type="pct"/>
            <w:vMerge w:val="restart"/>
            <w:tcBorders>
              <w:top w:val="nil"/>
              <w:left w:val="nil"/>
              <w:bottom w:val="single" w:color="000000" w:sz="4" w:space="0"/>
              <w:right w:val="single" w:color="000000" w:sz="4" w:space="0"/>
            </w:tcBorders>
            <w:shd w:val="clear" w:color="FFFFFF" w:fill="C0C0C0"/>
            <w:noWrap/>
            <w:vAlign w:val="center"/>
          </w:tcPr>
          <w:p w14:paraId="26BF0C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科目名称</w:t>
            </w: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54B5F8FD">
            <w:pPr>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7C78F3CB">
            <w:pPr>
              <w:jc w:val="center"/>
              <w:rPr>
                <w:rFonts w:hint="eastAsia" w:ascii="仿宋" w:hAnsi="仿宋" w:eastAsia="仿宋" w:cs="仿宋"/>
                <w:i w:val="0"/>
                <w:iCs w:val="0"/>
                <w:color w:val="000000"/>
                <w:sz w:val="24"/>
                <w:szCs w:val="24"/>
                <w:u w:val="none"/>
              </w:rPr>
            </w:pPr>
          </w:p>
        </w:tc>
        <w:tc>
          <w:tcPr>
            <w:tcW w:w="412" w:type="pct"/>
            <w:vMerge w:val="restart"/>
            <w:tcBorders>
              <w:top w:val="nil"/>
              <w:left w:val="nil"/>
              <w:bottom w:val="single" w:color="000000" w:sz="4" w:space="0"/>
              <w:right w:val="single" w:color="000000" w:sz="4" w:space="0"/>
            </w:tcBorders>
            <w:shd w:val="clear" w:color="FFFFFF" w:fill="C0C0C0"/>
            <w:vAlign w:val="center"/>
          </w:tcPr>
          <w:p w14:paraId="69FB98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c>
          <w:tcPr>
            <w:tcW w:w="506" w:type="pct"/>
            <w:vMerge w:val="restart"/>
            <w:tcBorders>
              <w:top w:val="nil"/>
              <w:left w:val="nil"/>
              <w:bottom w:val="single" w:color="000000" w:sz="4" w:space="0"/>
              <w:right w:val="single" w:color="000000" w:sz="4" w:space="0"/>
            </w:tcBorders>
            <w:shd w:val="clear" w:color="FFFFFF" w:fill="C0C0C0"/>
            <w:vAlign w:val="center"/>
          </w:tcPr>
          <w:p w14:paraId="251AF3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基本支出</w:t>
            </w:r>
          </w:p>
        </w:tc>
        <w:tc>
          <w:tcPr>
            <w:tcW w:w="483" w:type="pct"/>
            <w:vMerge w:val="restart"/>
            <w:tcBorders>
              <w:top w:val="nil"/>
              <w:left w:val="nil"/>
              <w:bottom w:val="single" w:color="000000" w:sz="4" w:space="0"/>
              <w:right w:val="single" w:color="000000" w:sz="4" w:space="0"/>
            </w:tcBorders>
            <w:shd w:val="clear" w:color="FFFFFF" w:fill="C0C0C0"/>
            <w:vAlign w:val="center"/>
          </w:tcPr>
          <w:p w14:paraId="6AC79E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项目支出</w:t>
            </w: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14:paraId="7E28D270">
            <w:pPr>
              <w:jc w:val="center"/>
              <w:rPr>
                <w:rFonts w:hint="eastAsia" w:ascii="仿宋" w:hAnsi="仿宋" w:eastAsia="仿宋" w:cs="仿宋"/>
                <w:i w:val="0"/>
                <w:iCs w:val="0"/>
                <w:color w:val="000000"/>
                <w:sz w:val="24"/>
                <w:szCs w:val="24"/>
                <w:u w:val="none"/>
              </w:rPr>
            </w:pPr>
          </w:p>
        </w:tc>
      </w:tr>
      <w:tr w14:paraId="74A6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vMerge w:val="continue"/>
            <w:tcBorders>
              <w:top w:val="nil"/>
              <w:left w:val="single" w:color="000000" w:sz="4" w:space="0"/>
              <w:bottom w:val="single" w:color="000000" w:sz="4" w:space="0"/>
              <w:right w:val="single" w:color="000000" w:sz="4" w:space="0"/>
            </w:tcBorders>
            <w:shd w:val="clear" w:color="FFFFFF" w:fill="C0C0C0"/>
            <w:vAlign w:val="center"/>
          </w:tcPr>
          <w:p w14:paraId="16CDF411">
            <w:pPr>
              <w:jc w:val="center"/>
              <w:rPr>
                <w:rFonts w:hint="eastAsia" w:ascii="仿宋" w:hAnsi="仿宋" w:eastAsia="仿宋" w:cs="仿宋"/>
                <w:i w:val="0"/>
                <w:iCs w:val="0"/>
                <w:color w:val="000000"/>
                <w:sz w:val="24"/>
                <w:szCs w:val="24"/>
                <w:u w:val="none"/>
              </w:rPr>
            </w:pPr>
          </w:p>
        </w:tc>
        <w:tc>
          <w:tcPr>
            <w:tcW w:w="1694" w:type="pct"/>
            <w:vMerge w:val="continue"/>
            <w:tcBorders>
              <w:top w:val="nil"/>
              <w:left w:val="nil"/>
              <w:bottom w:val="single" w:color="000000" w:sz="4" w:space="0"/>
              <w:right w:val="single" w:color="000000" w:sz="4" w:space="0"/>
            </w:tcBorders>
            <w:shd w:val="clear" w:color="FFFFFF" w:fill="C0C0C0"/>
            <w:noWrap/>
            <w:vAlign w:val="center"/>
          </w:tcPr>
          <w:p w14:paraId="109B1D5B">
            <w:pPr>
              <w:jc w:val="center"/>
              <w:rPr>
                <w:rFonts w:hint="eastAsia" w:ascii="仿宋" w:hAnsi="仿宋" w:eastAsia="仿宋" w:cs="仿宋"/>
                <w:i w:val="0"/>
                <w:iCs w:val="0"/>
                <w:color w:val="000000"/>
                <w:sz w:val="24"/>
                <w:szCs w:val="24"/>
                <w:u w:val="none"/>
              </w:rPr>
            </w:pP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617E57D8">
            <w:pPr>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3810002D">
            <w:pPr>
              <w:jc w:val="center"/>
              <w:rPr>
                <w:rFonts w:hint="eastAsia" w:ascii="仿宋" w:hAnsi="仿宋" w:eastAsia="仿宋" w:cs="仿宋"/>
                <w:i w:val="0"/>
                <w:iCs w:val="0"/>
                <w:color w:val="000000"/>
                <w:sz w:val="24"/>
                <w:szCs w:val="24"/>
                <w:u w:val="none"/>
              </w:rPr>
            </w:pPr>
          </w:p>
        </w:tc>
        <w:tc>
          <w:tcPr>
            <w:tcW w:w="412" w:type="pct"/>
            <w:vMerge w:val="continue"/>
            <w:tcBorders>
              <w:top w:val="nil"/>
              <w:left w:val="nil"/>
              <w:bottom w:val="single" w:color="000000" w:sz="4" w:space="0"/>
              <w:right w:val="single" w:color="000000" w:sz="4" w:space="0"/>
            </w:tcBorders>
            <w:shd w:val="clear" w:color="FFFFFF" w:fill="C0C0C0"/>
            <w:vAlign w:val="center"/>
          </w:tcPr>
          <w:p w14:paraId="60E7FCF5">
            <w:pPr>
              <w:jc w:val="center"/>
              <w:rPr>
                <w:rFonts w:hint="eastAsia" w:ascii="仿宋" w:hAnsi="仿宋" w:eastAsia="仿宋" w:cs="仿宋"/>
                <w:i w:val="0"/>
                <w:iCs w:val="0"/>
                <w:color w:val="000000"/>
                <w:sz w:val="24"/>
                <w:szCs w:val="24"/>
                <w:u w:val="none"/>
              </w:rPr>
            </w:pPr>
          </w:p>
        </w:tc>
        <w:tc>
          <w:tcPr>
            <w:tcW w:w="506" w:type="pct"/>
            <w:vMerge w:val="continue"/>
            <w:tcBorders>
              <w:top w:val="nil"/>
              <w:left w:val="nil"/>
              <w:bottom w:val="single" w:color="000000" w:sz="4" w:space="0"/>
              <w:right w:val="single" w:color="000000" w:sz="4" w:space="0"/>
            </w:tcBorders>
            <w:shd w:val="clear" w:color="FFFFFF" w:fill="C0C0C0"/>
            <w:vAlign w:val="center"/>
          </w:tcPr>
          <w:p w14:paraId="4B9D3C43">
            <w:pPr>
              <w:jc w:val="center"/>
              <w:rPr>
                <w:rFonts w:hint="eastAsia" w:ascii="仿宋" w:hAnsi="仿宋" w:eastAsia="仿宋" w:cs="仿宋"/>
                <w:i w:val="0"/>
                <w:iCs w:val="0"/>
                <w:color w:val="000000"/>
                <w:sz w:val="24"/>
                <w:szCs w:val="24"/>
                <w:u w:val="none"/>
              </w:rPr>
            </w:pPr>
          </w:p>
        </w:tc>
        <w:tc>
          <w:tcPr>
            <w:tcW w:w="483" w:type="pct"/>
            <w:vMerge w:val="continue"/>
            <w:tcBorders>
              <w:top w:val="nil"/>
              <w:left w:val="nil"/>
              <w:bottom w:val="single" w:color="000000" w:sz="4" w:space="0"/>
              <w:right w:val="single" w:color="000000" w:sz="4" w:space="0"/>
            </w:tcBorders>
            <w:shd w:val="clear" w:color="FFFFFF" w:fill="C0C0C0"/>
            <w:vAlign w:val="center"/>
          </w:tcPr>
          <w:p w14:paraId="54E93257">
            <w:pPr>
              <w:jc w:val="center"/>
              <w:rPr>
                <w:rFonts w:hint="eastAsia" w:ascii="仿宋" w:hAnsi="仿宋" w:eastAsia="仿宋" w:cs="仿宋"/>
                <w:i w:val="0"/>
                <w:iCs w:val="0"/>
                <w:color w:val="000000"/>
                <w:sz w:val="24"/>
                <w:szCs w:val="24"/>
                <w:u w:val="none"/>
              </w:rPr>
            </w:pP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14:paraId="282FC270">
            <w:pPr>
              <w:jc w:val="center"/>
              <w:rPr>
                <w:rFonts w:hint="eastAsia" w:ascii="仿宋" w:hAnsi="仿宋" w:eastAsia="仿宋" w:cs="仿宋"/>
                <w:i w:val="0"/>
                <w:iCs w:val="0"/>
                <w:color w:val="000000"/>
                <w:sz w:val="24"/>
                <w:szCs w:val="24"/>
                <w:u w:val="none"/>
              </w:rPr>
            </w:pPr>
          </w:p>
        </w:tc>
      </w:tr>
      <w:tr w14:paraId="07AB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vMerge w:val="continue"/>
            <w:tcBorders>
              <w:top w:val="nil"/>
              <w:left w:val="single" w:color="000000" w:sz="4" w:space="0"/>
              <w:bottom w:val="single" w:color="000000" w:sz="4" w:space="0"/>
              <w:right w:val="single" w:color="000000" w:sz="4" w:space="0"/>
            </w:tcBorders>
            <w:shd w:val="clear" w:color="FFFFFF" w:fill="C0C0C0"/>
            <w:vAlign w:val="center"/>
          </w:tcPr>
          <w:p w14:paraId="4282AAF1">
            <w:pPr>
              <w:jc w:val="center"/>
              <w:rPr>
                <w:rFonts w:hint="eastAsia" w:ascii="仿宋" w:hAnsi="仿宋" w:eastAsia="仿宋" w:cs="仿宋"/>
                <w:i w:val="0"/>
                <w:iCs w:val="0"/>
                <w:color w:val="000000"/>
                <w:sz w:val="24"/>
                <w:szCs w:val="24"/>
                <w:u w:val="none"/>
              </w:rPr>
            </w:pPr>
          </w:p>
        </w:tc>
        <w:tc>
          <w:tcPr>
            <w:tcW w:w="1694" w:type="pct"/>
            <w:vMerge w:val="continue"/>
            <w:tcBorders>
              <w:top w:val="nil"/>
              <w:left w:val="nil"/>
              <w:bottom w:val="single" w:color="000000" w:sz="4" w:space="0"/>
              <w:right w:val="single" w:color="000000" w:sz="4" w:space="0"/>
            </w:tcBorders>
            <w:shd w:val="clear" w:color="FFFFFF" w:fill="C0C0C0"/>
            <w:noWrap/>
            <w:vAlign w:val="center"/>
          </w:tcPr>
          <w:p w14:paraId="6DB97EDB">
            <w:pPr>
              <w:jc w:val="center"/>
              <w:rPr>
                <w:rFonts w:hint="eastAsia" w:ascii="仿宋" w:hAnsi="仿宋" w:eastAsia="仿宋" w:cs="仿宋"/>
                <w:i w:val="0"/>
                <w:iCs w:val="0"/>
                <w:color w:val="000000"/>
                <w:sz w:val="24"/>
                <w:szCs w:val="24"/>
                <w:u w:val="none"/>
              </w:rPr>
            </w:pP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14:paraId="5CBAAAE8">
            <w:pPr>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14:paraId="62AB930F">
            <w:pPr>
              <w:jc w:val="center"/>
              <w:rPr>
                <w:rFonts w:hint="eastAsia" w:ascii="仿宋" w:hAnsi="仿宋" w:eastAsia="仿宋" w:cs="仿宋"/>
                <w:i w:val="0"/>
                <w:iCs w:val="0"/>
                <w:color w:val="000000"/>
                <w:sz w:val="24"/>
                <w:szCs w:val="24"/>
                <w:u w:val="none"/>
              </w:rPr>
            </w:pPr>
          </w:p>
        </w:tc>
        <w:tc>
          <w:tcPr>
            <w:tcW w:w="412" w:type="pct"/>
            <w:vMerge w:val="continue"/>
            <w:tcBorders>
              <w:top w:val="nil"/>
              <w:left w:val="nil"/>
              <w:bottom w:val="single" w:color="000000" w:sz="4" w:space="0"/>
              <w:right w:val="single" w:color="000000" w:sz="4" w:space="0"/>
            </w:tcBorders>
            <w:shd w:val="clear" w:color="FFFFFF" w:fill="C0C0C0"/>
            <w:vAlign w:val="center"/>
          </w:tcPr>
          <w:p w14:paraId="79CE0DE5">
            <w:pPr>
              <w:jc w:val="center"/>
              <w:rPr>
                <w:rFonts w:hint="eastAsia" w:ascii="仿宋" w:hAnsi="仿宋" w:eastAsia="仿宋" w:cs="仿宋"/>
                <w:i w:val="0"/>
                <w:iCs w:val="0"/>
                <w:color w:val="000000"/>
                <w:sz w:val="24"/>
                <w:szCs w:val="24"/>
                <w:u w:val="none"/>
              </w:rPr>
            </w:pPr>
          </w:p>
        </w:tc>
        <w:tc>
          <w:tcPr>
            <w:tcW w:w="506" w:type="pct"/>
            <w:vMerge w:val="continue"/>
            <w:tcBorders>
              <w:top w:val="nil"/>
              <w:left w:val="nil"/>
              <w:bottom w:val="single" w:color="000000" w:sz="4" w:space="0"/>
              <w:right w:val="single" w:color="000000" w:sz="4" w:space="0"/>
            </w:tcBorders>
            <w:shd w:val="clear" w:color="FFFFFF" w:fill="C0C0C0"/>
            <w:vAlign w:val="center"/>
          </w:tcPr>
          <w:p w14:paraId="753DC900">
            <w:pPr>
              <w:jc w:val="center"/>
              <w:rPr>
                <w:rFonts w:hint="eastAsia" w:ascii="仿宋" w:hAnsi="仿宋" w:eastAsia="仿宋" w:cs="仿宋"/>
                <w:i w:val="0"/>
                <w:iCs w:val="0"/>
                <w:color w:val="000000"/>
                <w:sz w:val="24"/>
                <w:szCs w:val="24"/>
                <w:u w:val="none"/>
              </w:rPr>
            </w:pPr>
          </w:p>
        </w:tc>
        <w:tc>
          <w:tcPr>
            <w:tcW w:w="483" w:type="pct"/>
            <w:vMerge w:val="continue"/>
            <w:tcBorders>
              <w:top w:val="nil"/>
              <w:left w:val="nil"/>
              <w:bottom w:val="single" w:color="000000" w:sz="4" w:space="0"/>
              <w:right w:val="single" w:color="000000" w:sz="4" w:space="0"/>
            </w:tcBorders>
            <w:shd w:val="clear" w:color="FFFFFF" w:fill="C0C0C0"/>
            <w:vAlign w:val="center"/>
          </w:tcPr>
          <w:p w14:paraId="6B40448B">
            <w:pPr>
              <w:jc w:val="center"/>
              <w:rPr>
                <w:rFonts w:hint="eastAsia" w:ascii="仿宋" w:hAnsi="仿宋" w:eastAsia="仿宋" w:cs="仿宋"/>
                <w:i w:val="0"/>
                <w:iCs w:val="0"/>
                <w:color w:val="000000"/>
                <w:sz w:val="24"/>
                <w:szCs w:val="24"/>
                <w:u w:val="none"/>
              </w:rPr>
            </w:pP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14:paraId="12019B86">
            <w:pPr>
              <w:jc w:val="center"/>
              <w:rPr>
                <w:rFonts w:hint="eastAsia" w:ascii="仿宋" w:hAnsi="仿宋" w:eastAsia="仿宋" w:cs="仿宋"/>
                <w:i w:val="0"/>
                <w:iCs w:val="0"/>
                <w:color w:val="000000"/>
                <w:sz w:val="24"/>
                <w:szCs w:val="24"/>
                <w:u w:val="none"/>
              </w:rPr>
            </w:pPr>
          </w:p>
        </w:tc>
      </w:tr>
      <w:tr w14:paraId="47AF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16" w:type="pct"/>
            <w:gridSpan w:val="2"/>
            <w:tcBorders>
              <w:top w:val="nil"/>
              <w:left w:val="single" w:color="000000" w:sz="4" w:space="0"/>
              <w:bottom w:val="single" w:color="000000" w:sz="4" w:space="0"/>
              <w:right w:val="single" w:color="000000" w:sz="4" w:space="0"/>
            </w:tcBorders>
            <w:shd w:val="clear" w:color="FFFFFF" w:fill="C0C0C0"/>
            <w:noWrap/>
            <w:vAlign w:val="center"/>
          </w:tcPr>
          <w:p w14:paraId="6DBB6A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栏次</w:t>
            </w:r>
          </w:p>
        </w:tc>
        <w:tc>
          <w:tcPr>
            <w:tcW w:w="417" w:type="pct"/>
            <w:tcBorders>
              <w:top w:val="nil"/>
              <w:left w:val="nil"/>
              <w:bottom w:val="single" w:color="000000" w:sz="4" w:space="0"/>
              <w:right w:val="single" w:color="000000" w:sz="4" w:space="0"/>
            </w:tcBorders>
            <w:shd w:val="clear" w:color="FFFFFF" w:fill="C0C0C0"/>
            <w:noWrap/>
            <w:vAlign w:val="center"/>
          </w:tcPr>
          <w:p w14:paraId="20EB85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79" w:type="pct"/>
            <w:tcBorders>
              <w:top w:val="nil"/>
              <w:left w:val="nil"/>
              <w:bottom w:val="single" w:color="000000" w:sz="4" w:space="0"/>
              <w:right w:val="single" w:color="000000" w:sz="4" w:space="0"/>
            </w:tcBorders>
            <w:shd w:val="clear" w:color="FFFFFF" w:fill="C0C0C0"/>
            <w:noWrap/>
            <w:vAlign w:val="center"/>
          </w:tcPr>
          <w:p w14:paraId="38EF3B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2" w:type="pct"/>
            <w:tcBorders>
              <w:top w:val="nil"/>
              <w:left w:val="nil"/>
              <w:bottom w:val="single" w:color="000000" w:sz="4" w:space="0"/>
              <w:right w:val="single" w:color="000000" w:sz="4" w:space="0"/>
            </w:tcBorders>
            <w:shd w:val="clear" w:color="FFFFFF" w:fill="C0C0C0"/>
            <w:noWrap/>
            <w:vAlign w:val="center"/>
          </w:tcPr>
          <w:p w14:paraId="2AA6F8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06" w:type="pct"/>
            <w:tcBorders>
              <w:top w:val="nil"/>
              <w:left w:val="nil"/>
              <w:bottom w:val="single" w:color="000000" w:sz="4" w:space="0"/>
              <w:right w:val="single" w:color="000000" w:sz="4" w:space="0"/>
            </w:tcBorders>
            <w:shd w:val="clear" w:color="FFFFFF" w:fill="C0C0C0"/>
            <w:noWrap/>
            <w:vAlign w:val="center"/>
          </w:tcPr>
          <w:p w14:paraId="7FE6E5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83" w:type="pct"/>
            <w:tcBorders>
              <w:top w:val="nil"/>
              <w:left w:val="nil"/>
              <w:bottom w:val="single" w:color="000000" w:sz="4" w:space="0"/>
              <w:right w:val="single" w:color="000000" w:sz="4" w:space="0"/>
            </w:tcBorders>
            <w:shd w:val="clear" w:color="FFFFFF" w:fill="C0C0C0"/>
            <w:noWrap/>
            <w:vAlign w:val="center"/>
          </w:tcPr>
          <w:p w14:paraId="54A9A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83" w:type="pct"/>
            <w:tcBorders>
              <w:top w:val="nil"/>
              <w:left w:val="nil"/>
              <w:bottom w:val="single" w:color="000000" w:sz="4" w:space="0"/>
              <w:right w:val="single" w:color="000000" w:sz="4" w:space="0"/>
            </w:tcBorders>
            <w:shd w:val="clear" w:color="FFFFFF" w:fill="C0C0C0"/>
            <w:noWrap/>
            <w:vAlign w:val="center"/>
          </w:tcPr>
          <w:p w14:paraId="796790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02B0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16" w:type="pct"/>
            <w:gridSpan w:val="2"/>
            <w:tcBorders>
              <w:top w:val="nil"/>
              <w:left w:val="single" w:color="000000" w:sz="4" w:space="0"/>
              <w:bottom w:val="single" w:color="000000" w:sz="4" w:space="0"/>
              <w:right w:val="single" w:color="000000" w:sz="4" w:space="0"/>
            </w:tcBorders>
            <w:shd w:val="clear" w:color="FFFFFF" w:fill="C0C0C0"/>
            <w:noWrap/>
            <w:vAlign w:val="center"/>
          </w:tcPr>
          <w:p w14:paraId="421386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417" w:type="pct"/>
            <w:tcBorders>
              <w:top w:val="nil"/>
              <w:left w:val="nil"/>
              <w:bottom w:val="single" w:color="000000" w:sz="4" w:space="0"/>
              <w:right w:val="single" w:color="000000" w:sz="4" w:space="0"/>
            </w:tcBorders>
            <w:shd w:val="clear" w:color="auto" w:fill="auto"/>
            <w:noWrap/>
            <w:vAlign w:val="center"/>
          </w:tcPr>
          <w:p w14:paraId="43083A34">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06A2F738">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45.85</w:t>
            </w:r>
          </w:p>
        </w:tc>
        <w:tc>
          <w:tcPr>
            <w:tcW w:w="1071" w:type="dxa"/>
            <w:tcBorders>
              <w:top w:val="nil"/>
              <w:left w:val="nil"/>
              <w:bottom w:val="single" w:color="000000" w:sz="4" w:space="0"/>
              <w:right w:val="single" w:color="000000" w:sz="4" w:space="0"/>
            </w:tcBorders>
            <w:shd w:val="clear" w:color="auto" w:fill="auto"/>
            <w:noWrap/>
            <w:vAlign w:val="center"/>
          </w:tcPr>
          <w:p w14:paraId="3895EDFF">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45.85</w:t>
            </w:r>
          </w:p>
        </w:tc>
        <w:tc>
          <w:tcPr>
            <w:tcW w:w="506" w:type="pct"/>
            <w:tcBorders>
              <w:top w:val="nil"/>
              <w:left w:val="nil"/>
              <w:bottom w:val="single" w:color="000000" w:sz="4" w:space="0"/>
              <w:right w:val="single" w:color="000000" w:sz="4" w:space="0"/>
            </w:tcBorders>
            <w:shd w:val="clear" w:color="auto" w:fill="auto"/>
            <w:noWrap/>
            <w:vAlign w:val="center"/>
          </w:tcPr>
          <w:p w14:paraId="51D6B5FD">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c>
          <w:tcPr>
            <w:tcW w:w="1253" w:type="dxa"/>
            <w:tcBorders>
              <w:top w:val="nil"/>
              <w:left w:val="nil"/>
              <w:bottom w:val="single" w:color="000000" w:sz="4" w:space="0"/>
              <w:right w:val="single" w:color="000000" w:sz="4" w:space="0"/>
            </w:tcBorders>
            <w:shd w:val="clear" w:color="auto" w:fill="auto"/>
            <w:noWrap/>
            <w:vAlign w:val="center"/>
          </w:tcPr>
          <w:p w14:paraId="39619E09">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45.85</w:t>
            </w:r>
          </w:p>
        </w:tc>
        <w:tc>
          <w:tcPr>
            <w:tcW w:w="383" w:type="pct"/>
            <w:tcBorders>
              <w:top w:val="nil"/>
              <w:left w:val="nil"/>
              <w:bottom w:val="single" w:color="000000" w:sz="4" w:space="0"/>
              <w:right w:val="single" w:color="000000" w:sz="4" w:space="0"/>
            </w:tcBorders>
            <w:shd w:val="clear" w:color="auto" w:fill="auto"/>
            <w:noWrap/>
            <w:vAlign w:val="center"/>
          </w:tcPr>
          <w:p w14:paraId="2CD3532A">
            <w:pPr>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r>
      <w:tr w14:paraId="07E5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6D919CC4">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2120806</w:t>
            </w:r>
          </w:p>
        </w:tc>
        <w:tc>
          <w:tcPr>
            <w:tcW w:w="1694" w:type="pct"/>
            <w:tcBorders>
              <w:top w:val="nil"/>
              <w:left w:val="nil"/>
              <w:bottom w:val="single" w:color="000000" w:sz="4" w:space="0"/>
              <w:right w:val="single" w:color="000000" w:sz="4" w:space="0"/>
            </w:tcBorders>
            <w:shd w:val="clear" w:color="auto" w:fill="auto"/>
            <w:noWrap/>
            <w:vAlign w:val="center"/>
          </w:tcPr>
          <w:p w14:paraId="10DE9FCC">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土地出让业务支出</w:t>
            </w:r>
          </w:p>
        </w:tc>
        <w:tc>
          <w:tcPr>
            <w:tcW w:w="417" w:type="pct"/>
            <w:tcBorders>
              <w:top w:val="nil"/>
              <w:left w:val="nil"/>
              <w:bottom w:val="single" w:color="000000" w:sz="4" w:space="0"/>
              <w:right w:val="single" w:color="000000" w:sz="4" w:space="0"/>
            </w:tcBorders>
            <w:shd w:val="clear" w:color="auto" w:fill="auto"/>
            <w:noWrap/>
            <w:vAlign w:val="center"/>
          </w:tcPr>
          <w:p w14:paraId="1BADC9D5">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016816A8">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45.85</w:t>
            </w:r>
          </w:p>
        </w:tc>
        <w:tc>
          <w:tcPr>
            <w:tcW w:w="1071" w:type="dxa"/>
            <w:tcBorders>
              <w:top w:val="nil"/>
              <w:left w:val="nil"/>
              <w:bottom w:val="single" w:color="000000" w:sz="4" w:space="0"/>
              <w:right w:val="single" w:color="000000" w:sz="4" w:space="0"/>
            </w:tcBorders>
            <w:shd w:val="clear" w:color="auto" w:fill="auto"/>
            <w:noWrap/>
            <w:vAlign w:val="center"/>
          </w:tcPr>
          <w:p w14:paraId="6E05B6D4">
            <w:pPr>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45.85</w:t>
            </w:r>
          </w:p>
        </w:tc>
        <w:tc>
          <w:tcPr>
            <w:tcW w:w="506" w:type="pct"/>
            <w:tcBorders>
              <w:top w:val="nil"/>
              <w:left w:val="nil"/>
              <w:bottom w:val="single" w:color="000000" w:sz="4" w:space="0"/>
              <w:right w:val="single" w:color="000000" w:sz="4" w:space="0"/>
            </w:tcBorders>
            <w:shd w:val="clear" w:color="auto" w:fill="auto"/>
            <w:noWrap/>
            <w:vAlign w:val="center"/>
          </w:tcPr>
          <w:p w14:paraId="732C0F13">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1253" w:type="dxa"/>
            <w:tcBorders>
              <w:top w:val="nil"/>
              <w:left w:val="nil"/>
              <w:bottom w:val="single" w:color="000000" w:sz="4" w:space="0"/>
              <w:right w:val="single" w:color="000000" w:sz="4" w:space="0"/>
            </w:tcBorders>
            <w:shd w:val="clear" w:color="auto" w:fill="auto"/>
            <w:noWrap/>
            <w:vAlign w:val="center"/>
          </w:tcPr>
          <w:p w14:paraId="699BDFB9">
            <w:pPr>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45.85</w:t>
            </w:r>
          </w:p>
        </w:tc>
        <w:tc>
          <w:tcPr>
            <w:tcW w:w="383" w:type="pct"/>
            <w:tcBorders>
              <w:top w:val="nil"/>
              <w:left w:val="nil"/>
              <w:bottom w:val="single" w:color="000000" w:sz="4" w:space="0"/>
              <w:right w:val="single" w:color="000000" w:sz="4" w:space="0"/>
            </w:tcBorders>
            <w:shd w:val="clear" w:color="auto" w:fill="auto"/>
            <w:noWrap/>
            <w:vAlign w:val="center"/>
          </w:tcPr>
          <w:p w14:paraId="13B3FC8A">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14:paraId="659C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35B4CFF8">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2120806</w:t>
            </w:r>
          </w:p>
        </w:tc>
        <w:tc>
          <w:tcPr>
            <w:tcW w:w="1694" w:type="pct"/>
            <w:tcBorders>
              <w:top w:val="nil"/>
              <w:left w:val="nil"/>
              <w:bottom w:val="single" w:color="000000" w:sz="4" w:space="0"/>
              <w:right w:val="single" w:color="000000" w:sz="4" w:space="0"/>
            </w:tcBorders>
            <w:shd w:val="clear" w:color="auto" w:fill="auto"/>
            <w:noWrap/>
            <w:vAlign w:val="center"/>
          </w:tcPr>
          <w:p w14:paraId="5D23C827">
            <w:pPr>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地灾防治专项工作经费</w:t>
            </w:r>
          </w:p>
        </w:tc>
        <w:tc>
          <w:tcPr>
            <w:tcW w:w="417" w:type="pct"/>
            <w:tcBorders>
              <w:top w:val="nil"/>
              <w:left w:val="nil"/>
              <w:bottom w:val="single" w:color="000000" w:sz="4" w:space="0"/>
              <w:right w:val="single" w:color="000000" w:sz="4" w:space="0"/>
            </w:tcBorders>
            <w:shd w:val="clear" w:color="auto" w:fill="auto"/>
            <w:noWrap/>
            <w:vAlign w:val="center"/>
          </w:tcPr>
          <w:p w14:paraId="5D844640">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14:paraId="09A84BCE">
            <w:pPr>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45.85</w:t>
            </w:r>
          </w:p>
        </w:tc>
        <w:tc>
          <w:tcPr>
            <w:tcW w:w="1071" w:type="dxa"/>
            <w:tcBorders>
              <w:top w:val="nil"/>
              <w:left w:val="nil"/>
              <w:bottom w:val="single" w:color="000000" w:sz="4" w:space="0"/>
              <w:right w:val="single" w:color="000000" w:sz="4" w:space="0"/>
            </w:tcBorders>
            <w:shd w:val="clear" w:color="auto" w:fill="auto"/>
            <w:noWrap/>
            <w:vAlign w:val="center"/>
          </w:tcPr>
          <w:p w14:paraId="216645CF">
            <w:pPr>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45.85</w:t>
            </w:r>
          </w:p>
        </w:tc>
        <w:tc>
          <w:tcPr>
            <w:tcW w:w="506" w:type="pct"/>
            <w:tcBorders>
              <w:top w:val="nil"/>
              <w:left w:val="nil"/>
              <w:bottom w:val="single" w:color="000000" w:sz="4" w:space="0"/>
              <w:right w:val="single" w:color="000000" w:sz="4" w:space="0"/>
            </w:tcBorders>
            <w:shd w:val="clear" w:color="auto" w:fill="auto"/>
            <w:noWrap/>
            <w:vAlign w:val="center"/>
          </w:tcPr>
          <w:p w14:paraId="4C6788E3">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1253" w:type="dxa"/>
            <w:tcBorders>
              <w:top w:val="nil"/>
              <w:left w:val="nil"/>
              <w:bottom w:val="single" w:color="000000" w:sz="4" w:space="0"/>
              <w:right w:val="single" w:color="000000" w:sz="4" w:space="0"/>
            </w:tcBorders>
            <w:shd w:val="clear" w:color="auto" w:fill="auto"/>
            <w:noWrap/>
            <w:vAlign w:val="center"/>
          </w:tcPr>
          <w:p w14:paraId="5C2CB00B">
            <w:pPr>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45.85</w:t>
            </w:r>
          </w:p>
        </w:tc>
        <w:tc>
          <w:tcPr>
            <w:tcW w:w="383" w:type="pct"/>
            <w:tcBorders>
              <w:top w:val="nil"/>
              <w:left w:val="nil"/>
              <w:bottom w:val="single" w:color="000000" w:sz="4" w:space="0"/>
              <w:right w:val="single" w:color="000000" w:sz="4" w:space="0"/>
            </w:tcBorders>
            <w:shd w:val="clear" w:color="auto" w:fill="auto"/>
            <w:noWrap/>
            <w:vAlign w:val="center"/>
          </w:tcPr>
          <w:p w14:paraId="6D2DD659">
            <w:pPr>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14:paraId="48D6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4F1E52F4">
            <w:pPr>
              <w:jc w:val="left"/>
              <w:rPr>
                <w:rFonts w:hint="eastAsia" w:ascii="仿宋" w:hAnsi="仿宋" w:eastAsia="仿宋" w:cs="仿宋"/>
                <w:i w:val="0"/>
                <w:iCs w:val="0"/>
                <w:color w:val="000000"/>
                <w:kern w:val="2"/>
                <w:sz w:val="24"/>
                <w:szCs w:val="24"/>
                <w:u w:val="none"/>
                <w:lang w:val="en-US" w:eastAsia="zh-CN" w:bidi="ar-SA"/>
              </w:rPr>
            </w:pPr>
          </w:p>
        </w:tc>
        <w:tc>
          <w:tcPr>
            <w:tcW w:w="1694" w:type="pct"/>
            <w:tcBorders>
              <w:top w:val="nil"/>
              <w:left w:val="nil"/>
              <w:bottom w:val="single" w:color="000000" w:sz="4" w:space="0"/>
              <w:right w:val="single" w:color="000000" w:sz="4" w:space="0"/>
            </w:tcBorders>
            <w:shd w:val="clear" w:color="auto" w:fill="auto"/>
            <w:noWrap/>
            <w:vAlign w:val="center"/>
          </w:tcPr>
          <w:p w14:paraId="0E08883A">
            <w:pPr>
              <w:jc w:val="left"/>
              <w:rPr>
                <w:rFonts w:hint="eastAsia" w:ascii="仿宋" w:hAnsi="仿宋" w:eastAsia="仿宋" w:cs="仿宋"/>
                <w:i w:val="0"/>
                <w:iCs w:val="0"/>
                <w:color w:val="000000"/>
                <w:kern w:val="2"/>
                <w:sz w:val="24"/>
                <w:szCs w:val="24"/>
                <w:u w:val="none"/>
                <w:lang w:val="en-US" w:eastAsia="zh-CN" w:bidi="ar-SA"/>
              </w:rPr>
            </w:pPr>
          </w:p>
        </w:tc>
        <w:tc>
          <w:tcPr>
            <w:tcW w:w="417" w:type="pct"/>
            <w:tcBorders>
              <w:top w:val="nil"/>
              <w:left w:val="nil"/>
              <w:bottom w:val="single" w:color="000000" w:sz="4" w:space="0"/>
              <w:right w:val="single" w:color="000000" w:sz="4" w:space="0"/>
            </w:tcBorders>
            <w:shd w:val="clear" w:color="auto" w:fill="auto"/>
            <w:noWrap/>
            <w:vAlign w:val="center"/>
          </w:tcPr>
          <w:p w14:paraId="5FAEA6C5">
            <w:pPr>
              <w:jc w:val="right"/>
              <w:rPr>
                <w:rFonts w:hint="eastAsia" w:ascii="仿宋" w:hAnsi="仿宋" w:eastAsia="仿宋" w:cs="仿宋"/>
                <w:i w:val="0"/>
                <w:iCs w:val="0"/>
                <w:color w:val="000000"/>
                <w:kern w:val="2"/>
                <w:sz w:val="24"/>
                <w:szCs w:val="24"/>
                <w:u w:val="none"/>
                <w:lang w:val="en-US" w:eastAsia="zh-CN" w:bidi="ar-SA"/>
              </w:rPr>
            </w:pPr>
          </w:p>
        </w:tc>
        <w:tc>
          <w:tcPr>
            <w:tcW w:w="479" w:type="pct"/>
            <w:tcBorders>
              <w:top w:val="nil"/>
              <w:left w:val="nil"/>
              <w:bottom w:val="single" w:color="000000" w:sz="4" w:space="0"/>
              <w:right w:val="single" w:color="000000" w:sz="4" w:space="0"/>
            </w:tcBorders>
            <w:shd w:val="clear" w:color="auto" w:fill="auto"/>
            <w:noWrap/>
            <w:vAlign w:val="center"/>
          </w:tcPr>
          <w:p w14:paraId="3F40D3E2">
            <w:pPr>
              <w:jc w:val="right"/>
              <w:rPr>
                <w:rFonts w:hint="default" w:ascii="仿宋" w:hAnsi="仿宋" w:eastAsia="仿宋" w:cs="仿宋"/>
                <w:i w:val="0"/>
                <w:iCs w:val="0"/>
                <w:color w:val="000000"/>
                <w:kern w:val="2"/>
                <w:sz w:val="24"/>
                <w:szCs w:val="24"/>
                <w:u w:val="none"/>
                <w:lang w:val="en-US" w:eastAsia="zh-CN" w:bidi="ar-SA"/>
              </w:rPr>
            </w:pPr>
          </w:p>
        </w:tc>
        <w:tc>
          <w:tcPr>
            <w:tcW w:w="412" w:type="pct"/>
            <w:tcBorders>
              <w:top w:val="nil"/>
              <w:left w:val="nil"/>
              <w:bottom w:val="single" w:color="000000" w:sz="4" w:space="0"/>
              <w:right w:val="single" w:color="000000" w:sz="4" w:space="0"/>
            </w:tcBorders>
            <w:shd w:val="clear" w:color="auto" w:fill="auto"/>
            <w:noWrap/>
            <w:vAlign w:val="center"/>
          </w:tcPr>
          <w:p w14:paraId="35AE585D">
            <w:pPr>
              <w:jc w:val="right"/>
              <w:rPr>
                <w:rFonts w:hint="default" w:ascii="仿宋" w:hAnsi="仿宋" w:eastAsia="仿宋" w:cs="仿宋"/>
                <w:i w:val="0"/>
                <w:iCs w:val="0"/>
                <w:color w:val="000000"/>
                <w:kern w:val="2"/>
                <w:sz w:val="24"/>
                <w:szCs w:val="24"/>
                <w:u w:val="none"/>
                <w:lang w:val="en-US" w:eastAsia="zh-CN" w:bidi="ar-SA"/>
              </w:rPr>
            </w:pPr>
          </w:p>
        </w:tc>
        <w:tc>
          <w:tcPr>
            <w:tcW w:w="506" w:type="pct"/>
            <w:tcBorders>
              <w:top w:val="nil"/>
              <w:left w:val="nil"/>
              <w:bottom w:val="single" w:color="000000" w:sz="4" w:space="0"/>
              <w:right w:val="single" w:color="000000" w:sz="4" w:space="0"/>
            </w:tcBorders>
            <w:shd w:val="clear" w:color="auto" w:fill="auto"/>
            <w:noWrap/>
            <w:vAlign w:val="center"/>
          </w:tcPr>
          <w:p w14:paraId="059366E0">
            <w:pPr>
              <w:jc w:val="right"/>
              <w:rPr>
                <w:rFonts w:hint="eastAsia" w:ascii="仿宋" w:hAnsi="仿宋" w:eastAsia="仿宋" w:cs="仿宋"/>
                <w:i w:val="0"/>
                <w:iCs w:val="0"/>
                <w:color w:val="000000"/>
                <w:kern w:val="2"/>
                <w:sz w:val="24"/>
                <w:szCs w:val="24"/>
                <w:u w:val="none"/>
                <w:lang w:val="en-US" w:eastAsia="zh-CN" w:bidi="ar-SA"/>
              </w:rPr>
            </w:pPr>
          </w:p>
        </w:tc>
        <w:tc>
          <w:tcPr>
            <w:tcW w:w="483" w:type="pct"/>
            <w:tcBorders>
              <w:top w:val="nil"/>
              <w:left w:val="nil"/>
              <w:bottom w:val="single" w:color="000000" w:sz="4" w:space="0"/>
              <w:right w:val="single" w:color="000000" w:sz="4" w:space="0"/>
            </w:tcBorders>
            <w:shd w:val="clear" w:color="auto" w:fill="auto"/>
            <w:noWrap/>
            <w:vAlign w:val="center"/>
          </w:tcPr>
          <w:p w14:paraId="26048129">
            <w:pPr>
              <w:jc w:val="right"/>
              <w:rPr>
                <w:rFonts w:hint="default" w:ascii="仿宋" w:hAnsi="仿宋" w:eastAsia="仿宋" w:cs="仿宋"/>
                <w:i w:val="0"/>
                <w:iCs w:val="0"/>
                <w:color w:val="000000"/>
                <w:kern w:val="2"/>
                <w:sz w:val="24"/>
                <w:szCs w:val="24"/>
                <w:u w:val="none"/>
                <w:lang w:val="en-US" w:eastAsia="zh-CN" w:bidi="ar-SA"/>
              </w:rPr>
            </w:pPr>
          </w:p>
        </w:tc>
        <w:tc>
          <w:tcPr>
            <w:tcW w:w="383" w:type="pct"/>
            <w:tcBorders>
              <w:top w:val="nil"/>
              <w:left w:val="nil"/>
              <w:bottom w:val="single" w:color="000000" w:sz="4" w:space="0"/>
              <w:right w:val="single" w:color="000000" w:sz="4" w:space="0"/>
            </w:tcBorders>
            <w:shd w:val="clear" w:color="auto" w:fill="auto"/>
            <w:noWrap/>
            <w:vAlign w:val="center"/>
          </w:tcPr>
          <w:p w14:paraId="7B4C8958">
            <w:pPr>
              <w:jc w:val="right"/>
              <w:rPr>
                <w:rFonts w:hint="eastAsia" w:ascii="仿宋" w:hAnsi="仿宋" w:eastAsia="仿宋" w:cs="仿宋"/>
                <w:i w:val="0"/>
                <w:iCs w:val="0"/>
                <w:color w:val="000000"/>
                <w:kern w:val="2"/>
                <w:sz w:val="24"/>
                <w:szCs w:val="24"/>
                <w:u w:val="none"/>
                <w:lang w:val="en-US" w:eastAsia="zh-CN" w:bidi="ar-SA"/>
              </w:rPr>
            </w:pPr>
          </w:p>
        </w:tc>
      </w:tr>
      <w:tr w14:paraId="6259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1E104682">
            <w:pPr>
              <w:jc w:val="left"/>
              <w:rPr>
                <w:rFonts w:hint="eastAsia" w:ascii="仿宋" w:hAnsi="仿宋" w:eastAsia="仿宋" w:cs="仿宋"/>
                <w:i w:val="0"/>
                <w:iCs w:val="0"/>
                <w:color w:val="000000"/>
                <w:sz w:val="24"/>
                <w:szCs w:val="24"/>
                <w:u w:val="none"/>
              </w:rPr>
            </w:pPr>
          </w:p>
        </w:tc>
        <w:tc>
          <w:tcPr>
            <w:tcW w:w="1694" w:type="pct"/>
            <w:tcBorders>
              <w:top w:val="nil"/>
              <w:left w:val="nil"/>
              <w:bottom w:val="single" w:color="000000" w:sz="4" w:space="0"/>
              <w:right w:val="single" w:color="000000" w:sz="4" w:space="0"/>
            </w:tcBorders>
            <w:shd w:val="clear" w:color="auto" w:fill="auto"/>
            <w:noWrap/>
            <w:vAlign w:val="center"/>
          </w:tcPr>
          <w:p w14:paraId="628A1325">
            <w:pPr>
              <w:jc w:val="left"/>
              <w:rPr>
                <w:rFonts w:hint="eastAsia" w:ascii="仿宋" w:hAnsi="仿宋" w:eastAsia="仿宋" w:cs="仿宋"/>
                <w:i w:val="0"/>
                <w:iCs w:val="0"/>
                <w:color w:val="000000"/>
                <w:sz w:val="24"/>
                <w:szCs w:val="24"/>
                <w:u w:val="none"/>
              </w:rPr>
            </w:pPr>
          </w:p>
        </w:tc>
        <w:tc>
          <w:tcPr>
            <w:tcW w:w="417" w:type="pct"/>
            <w:tcBorders>
              <w:top w:val="nil"/>
              <w:left w:val="nil"/>
              <w:bottom w:val="single" w:color="000000" w:sz="4" w:space="0"/>
              <w:right w:val="single" w:color="000000" w:sz="4" w:space="0"/>
            </w:tcBorders>
            <w:shd w:val="clear" w:color="auto" w:fill="auto"/>
            <w:noWrap/>
            <w:vAlign w:val="center"/>
          </w:tcPr>
          <w:p w14:paraId="3B1DFEC7">
            <w:pPr>
              <w:jc w:val="right"/>
              <w:rPr>
                <w:rFonts w:hint="eastAsia" w:ascii="仿宋" w:hAnsi="仿宋" w:eastAsia="仿宋" w:cs="仿宋"/>
                <w:i w:val="0"/>
                <w:iCs w:val="0"/>
                <w:color w:val="000000"/>
                <w:sz w:val="24"/>
                <w:szCs w:val="24"/>
                <w:u w:val="none"/>
              </w:rPr>
            </w:pPr>
          </w:p>
        </w:tc>
        <w:tc>
          <w:tcPr>
            <w:tcW w:w="479" w:type="pct"/>
            <w:tcBorders>
              <w:top w:val="nil"/>
              <w:left w:val="nil"/>
              <w:bottom w:val="single" w:color="000000" w:sz="4" w:space="0"/>
              <w:right w:val="single" w:color="000000" w:sz="4" w:space="0"/>
            </w:tcBorders>
            <w:shd w:val="clear" w:color="auto" w:fill="auto"/>
            <w:noWrap/>
            <w:vAlign w:val="center"/>
          </w:tcPr>
          <w:p w14:paraId="18C56E23">
            <w:pPr>
              <w:jc w:val="right"/>
              <w:rPr>
                <w:rFonts w:hint="eastAsia" w:ascii="仿宋" w:hAnsi="仿宋" w:eastAsia="仿宋" w:cs="仿宋"/>
                <w:i w:val="0"/>
                <w:iCs w:val="0"/>
                <w:color w:val="000000"/>
                <w:sz w:val="24"/>
                <w:szCs w:val="24"/>
                <w:u w:val="none"/>
              </w:rPr>
            </w:pPr>
          </w:p>
        </w:tc>
        <w:tc>
          <w:tcPr>
            <w:tcW w:w="412" w:type="pct"/>
            <w:tcBorders>
              <w:top w:val="nil"/>
              <w:left w:val="nil"/>
              <w:bottom w:val="single" w:color="000000" w:sz="4" w:space="0"/>
              <w:right w:val="single" w:color="000000" w:sz="4" w:space="0"/>
            </w:tcBorders>
            <w:shd w:val="clear" w:color="auto" w:fill="auto"/>
            <w:noWrap/>
            <w:vAlign w:val="center"/>
          </w:tcPr>
          <w:p w14:paraId="0E959FD2">
            <w:pPr>
              <w:jc w:val="right"/>
              <w:rPr>
                <w:rFonts w:hint="eastAsia" w:ascii="仿宋" w:hAnsi="仿宋" w:eastAsia="仿宋" w:cs="仿宋"/>
                <w:i w:val="0"/>
                <w:iCs w:val="0"/>
                <w:color w:val="000000"/>
                <w:sz w:val="24"/>
                <w:szCs w:val="24"/>
                <w:u w:val="none"/>
              </w:rPr>
            </w:pPr>
          </w:p>
        </w:tc>
        <w:tc>
          <w:tcPr>
            <w:tcW w:w="506" w:type="pct"/>
            <w:tcBorders>
              <w:top w:val="nil"/>
              <w:left w:val="nil"/>
              <w:bottom w:val="single" w:color="000000" w:sz="4" w:space="0"/>
              <w:right w:val="single" w:color="000000" w:sz="4" w:space="0"/>
            </w:tcBorders>
            <w:shd w:val="clear" w:color="auto" w:fill="auto"/>
            <w:noWrap/>
            <w:vAlign w:val="center"/>
          </w:tcPr>
          <w:p w14:paraId="22523BAC">
            <w:pPr>
              <w:jc w:val="right"/>
              <w:rPr>
                <w:rFonts w:hint="eastAsia" w:ascii="仿宋" w:hAnsi="仿宋" w:eastAsia="仿宋" w:cs="仿宋"/>
                <w:i w:val="0"/>
                <w:iCs w:val="0"/>
                <w:color w:val="000000"/>
                <w:sz w:val="24"/>
                <w:szCs w:val="24"/>
                <w:u w:val="none"/>
              </w:rPr>
            </w:pPr>
          </w:p>
        </w:tc>
        <w:tc>
          <w:tcPr>
            <w:tcW w:w="483" w:type="pct"/>
            <w:tcBorders>
              <w:top w:val="nil"/>
              <w:left w:val="nil"/>
              <w:bottom w:val="single" w:color="000000" w:sz="4" w:space="0"/>
              <w:right w:val="single" w:color="000000" w:sz="4" w:space="0"/>
            </w:tcBorders>
            <w:shd w:val="clear" w:color="auto" w:fill="auto"/>
            <w:noWrap/>
            <w:vAlign w:val="center"/>
          </w:tcPr>
          <w:p w14:paraId="5CC0E762">
            <w:pPr>
              <w:jc w:val="right"/>
              <w:rPr>
                <w:rFonts w:hint="eastAsia" w:ascii="仿宋" w:hAnsi="仿宋" w:eastAsia="仿宋" w:cs="仿宋"/>
                <w:i w:val="0"/>
                <w:iCs w:val="0"/>
                <w:color w:val="000000"/>
                <w:sz w:val="24"/>
                <w:szCs w:val="24"/>
                <w:u w:val="none"/>
              </w:rPr>
            </w:pPr>
          </w:p>
        </w:tc>
        <w:tc>
          <w:tcPr>
            <w:tcW w:w="383" w:type="pct"/>
            <w:tcBorders>
              <w:top w:val="nil"/>
              <w:left w:val="nil"/>
              <w:bottom w:val="single" w:color="000000" w:sz="4" w:space="0"/>
              <w:right w:val="single" w:color="000000" w:sz="4" w:space="0"/>
            </w:tcBorders>
            <w:shd w:val="clear" w:color="auto" w:fill="auto"/>
            <w:noWrap/>
            <w:vAlign w:val="center"/>
          </w:tcPr>
          <w:p w14:paraId="4102250C">
            <w:pPr>
              <w:jc w:val="right"/>
              <w:rPr>
                <w:rFonts w:hint="eastAsia" w:ascii="仿宋" w:hAnsi="仿宋" w:eastAsia="仿宋" w:cs="仿宋"/>
                <w:i w:val="0"/>
                <w:iCs w:val="0"/>
                <w:color w:val="000000"/>
                <w:sz w:val="24"/>
                <w:szCs w:val="24"/>
                <w:u w:val="none"/>
              </w:rPr>
            </w:pPr>
          </w:p>
        </w:tc>
      </w:tr>
      <w:tr w14:paraId="6258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67BE144D">
            <w:pPr>
              <w:jc w:val="left"/>
              <w:rPr>
                <w:rFonts w:hint="eastAsia" w:ascii="仿宋" w:hAnsi="仿宋" w:eastAsia="仿宋" w:cs="仿宋"/>
                <w:i w:val="0"/>
                <w:iCs w:val="0"/>
                <w:color w:val="000000"/>
                <w:sz w:val="24"/>
                <w:szCs w:val="24"/>
                <w:u w:val="none"/>
              </w:rPr>
            </w:pPr>
          </w:p>
        </w:tc>
        <w:tc>
          <w:tcPr>
            <w:tcW w:w="1694" w:type="pct"/>
            <w:tcBorders>
              <w:top w:val="nil"/>
              <w:left w:val="nil"/>
              <w:bottom w:val="single" w:color="000000" w:sz="4" w:space="0"/>
              <w:right w:val="single" w:color="000000" w:sz="4" w:space="0"/>
            </w:tcBorders>
            <w:shd w:val="clear" w:color="auto" w:fill="auto"/>
            <w:noWrap/>
            <w:vAlign w:val="center"/>
          </w:tcPr>
          <w:p w14:paraId="112B4803">
            <w:pPr>
              <w:jc w:val="left"/>
              <w:rPr>
                <w:rFonts w:hint="eastAsia" w:ascii="仿宋" w:hAnsi="仿宋" w:eastAsia="仿宋" w:cs="仿宋"/>
                <w:i w:val="0"/>
                <w:iCs w:val="0"/>
                <w:color w:val="000000"/>
                <w:sz w:val="24"/>
                <w:szCs w:val="24"/>
                <w:u w:val="none"/>
              </w:rPr>
            </w:pPr>
          </w:p>
        </w:tc>
        <w:tc>
          <w:tcPr>
            <w:tcW w:w="417" w:type="pct"/>
            <w:tcBorders>
              <w:top w:val="nil"/>
              <w:left w:val="nil"/>
              <w:bottom w:val="single" w:color="000000" w:sz="4" w:space="0"/>
              <w:right w:val="single" w:color="000000" w:sz="4" w:space="0"/>
            </w:tcBorders>
            <w:shd w:val="clear" w:color="auto" w:fill="auto"/>
            <w:noWrap/>
            <w:vAlign w:val="center"/>
          </w:tcPr>
          <w:p w14:paraId="1BD30BB1">
            <w:pPr>
              <w:jc w:val="right"/>
              <w:rPr>
                <w:rFonts w:hint="eastAsia" w:ascii="仿宋" w:hAnsi="仿宋" w:eastAsia="仿宋" w:cs="仿宋"/>
                <w:i w:val="0"/>
                <w:iCs w:val="0"/>
                <w:color w:val="000000"/>
                <w:sz w:val="24"/>
                <w:szCs w:val="24"/>
                <w:u w:val="none"/>
              </w:rPr>
            </w:pPr>
          </w:p>
        </w:tc>
        <w:tc>
          <w:tcPr>
            <w:tcW w:w="479" w:type="pct"/>
            <w:tcBorders>
              <w:top w:val="nil"/>
              <w:left w:val="nil"/>
              <w:bottom w:val="single" w:color="000000" w:sz="4" w:space="0"/>
              <w:right w:val="single" w:color="000000" w:sz="4" w:space="0"/>
            </w:tcBorders>
            <w:shd w:val="clear" w:color="auto" w:fill="auto"/>
            <w:noWrap/>
            <w:vAlign w:val="center"/>
          </w:tcPr>
          <w:p w14:paraId="47E929E8">
            <w:pPr>
              <w:jc w:val="right"/>
              <w:rPr>
                <w:rFonts w:hint="eastAsia" w:ascii="仿宋" w:hAnsi="仿宋" w:eastAsia="仿宋" w:cs="仿宋"/>
                <w:i w:val="0"/>
                <w:iCs w:val="0"/>
                <w:color w:val="000000"/>
                <w:sz w:val="24"/>
                <w:szCs w:val="24"/>
                <w:u w:val="none"/>
              </w:rPr>
            </w:pPr>
          </w:p>
        </w:tc>
        <w:tc>
          <w:tcPr>
            <w:tcW w:w="412" w:type="pct"/>
            <w:tcBorders>
              <w:top w:val="nil"/>
              <w:left w:val="nil"/>
              <w:bottom w:val="single" w:color="000000" w:sz="4" w:space="0"/>
              <w:right w:val="single" w:color="000000" w:sz="4" w:space="0"/>
            </w:tcBorders>
            <w:shd w:val="clear" w:color="auto" w:fill="auto"/>
            <w:noWrap/>
            <w:vAlign w:val="center"/>
          </w:tcPr>
          <w:p w14:paraId="7DAEB351">
            <w:pPr>
              <w:jc w:val="right"/>
              <w:rPr>
                <w:rFonts w:hint="eastAsia" w:ascii="仿宋" w:hAnsi="仿宋" w:eastAsia="仿宋" w:cs="仿宋"/>
                <w:i w:val="0"/>
                <w:iCs w:val="0"/>
                <w:color w:val="000000"/>
                <w:sz w:val="24"/>
                <w:szCs w:val="24"/>
                <w:u w:val="none"/>
              </w:rPr>
            </w:pPr>
          </w:p>
        </w:tc>
        <w:tc>
          <w:tcPr>
            <w:tcW w:w="506" w:type="pct"/>
            <w:tcBorders>
              <w:top w:val="nil"/>
              <w:left w:val="nil"/>
              <w:bottom w:val="single" w:color="000000" w:sz="4" w:space="0"/>
              <w:right w:val="single" w:color="000000" w:sz="4" w:space="0"/>
            </w:tcBorders>
            <w:shd w:val="clear" w:color="auto" w:fill="auto"/>
            <w:noWrap/>
            <w:vAlign w:val="center"/>
          </w:tcPr>
          <w:p w14:paraId="17379992">
            <w:pPr>
              <w:jc w:val="right"/>
              <w:rPr>
                <w:rFonts w:hint="eastAsia" w:ascii="仿宋" w:hAnsi="仿宋" w:eastAsia="仿宋" w:cs="仿宋"/>
                <w:i w:val="0"/>
                <w:iCs w:val="0"/>
                <w:color w:val="000000"/>
                <w:sz w:val="24"/>
                <w:szCs w:val="24"/>
                <w:u w:val="none"/>
              </w:rPr>
            </w:pPr>
          </w:p>
        </w:tc>
        <w:tc>
          <w:tcPr>
            <w:tcW w:w="483" w:type="pct"/>
            <w:tcBorders>
              <w:top w:val="nil"/>
              <w:left w:val="nil"/>
              <w:bottom w:val="single" w:color="000000" w:sz="4" w:space="0"/>
              <w:right w:val="single" w:color="000000" w:sz="4" w:space="0"/>
            </w:tcBorders>
            <w:shd w:val="clear" w:color="auto" w:fill="auto"/>
            <w:noWrap/>
            <w:vAlign w:val="center"/>
          </w:tcPr>
          <w:p w14:paraId="38B08FBF">
            <w:pPr>
              <w:jc w:val="right"/>
              <w:rPr>
                <w:rFonts w:hint="eastAsia" w:ascii="仿宋" w:hAnsi="仿宋" w:eastAsia="仿宋" w:cs="仿宋"/>
                <w:i w:val="0"/>
                <w:iCs w:val="0"/>
                <w:color w:val="000000"/>
                <w:sz w:val="24"/>
                <w:szCs w:val="24"/>
                <w:u w:val="none"/>
              </w:rPr>
            </w:pPr>
          </w:p>
        </w:tc>
        <w:tc>
          <w:tcPr>
            <w:tcW w:w="383" w:type="pct"/>
            <w:tcBorders>
              <w:top w:val="nil"/>
              <w:left w:val="nil"/>
              <w:bottom w:val="single" w:color="000000" w:sz="4" w:space="0"/>
              <w:right w:val="single" w:color="000000" w:sz="4" w:space="0"/>
            </w:tcBorders>
            <w:shd w:val="clear" w:color="auto" w:fill="auto"/>
            <w:noWrap/>
            <w:vAlign w:val="center"/>
          </w:tcPr>
          <w:p w14:paraId="54F4C767">
            <w:pPr>
              <w:jc w:val="right"/>
              <w:rPr>
                <w:rFonts w:hint="eastAsia" w:ascii="仿宋" w:hAnsi="仿宋" w:eastAsia="仿宋" w:cs="仿宋"/>
                <w:i w:val="0"/>
                <w:iCs w:val="0"/>
                <w:color w:val="000000"/>
                <w:sz w:val="24"/>
                <w:szCs w:val="24"/>
                <w:u w:val="none"/>
              </w:rPr>
            </w:pPr>
          </w:p>
        </w:tc>
      </w:tr>
      <w:tr w14:paraId="6173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14:paraId="55523A66">
            <w:pPr>
              <w:jc w:val="left"/>
              <w:rPr>
                <w:rFonts w:hint="eastAsia" w:ascii="仿宋" w:hAnsi="仿宋" w:eastAsia="仿宋" w:cs="仿宋"/>
                <w:i w:val="0"/>
                <w:iCs w:val="0"/>
                <w:color w:val="000000"/>
                <w:sz w:val="24"/>
                <w:szCs w:val="24"/>
                <w:u w:val="none"/>
              </w:rPr>
            </w:pPr>
          </w:p>
        </w:tc>
        <w:tc>
          <w:tcPr>
            <w:tcW w:w="1694" w:type="pct"/>
            <w:tcBorders>
              <w:top w:val="nil"/>
              <w:left w:val="nil"/>
              <w:bottom w:val="single" w:color="000000" w:sz="4" w:space="0"/>
              <w:right w:val="single" w:color="000000" w:sz="4" w:space="0"/>
            </w:tcBorders>
            <w:shd w:val="clear" w:color="auto" w:fill="auto"/>
            <w:noWrap/>
            <w:vAlign w:val="center"/>
          </w:tcPr>
          <w:p w14:paraId="4EDD1CB8">
            <w:pPr>
              <w:jc w:val="left"/>
              <w:rPr>
                <w:rFonts w:hint="eastAsia" w:ascii="仿宋" w:hAnsi="仿宋" w:eastAsia="仿宋" w:cs="仿宋"/>
                <w:i w:val="0"/>
                <w:iCs w:val="0"/>
                <w:color w:val="000000"/>
                <w:sz w:val="24"/>
                <w:szCs w:val="24"/>
                <w:u w:val="none"/>
              </w:rPr>
            </w:pPr>
          </w:p>
        </w:tc>
        <w:tc>
          <w:tcPr>
            <w:tcW w:w="417" w:type="pct"/>
            <w:tcBorders>
              <w:top w:val="nil"/>
              <w:left w:val="nil"/>
              <w:bottom w:val="single" w:color="000000" w:sz="4" w:space="0"/>
              <w:right w:val="single" w:color="000000" w:sz="4" w:space="0"/>
            </w:tcBorders>
            <w:shd w:val="clear" w:color="auto" w:fill="auto"/>
            <w:noWrap/>
            <w:vAlign w:val="center"/>
          </w:tcPr>
          <w:p w14:paraId="0FAC0358">
            <w:pPr>
              <w:jc w:val="right"/>
              <w:rPr>
                <w:rFonts w:hint="eastAsia" w:ascii="仿宋" w:hAnsi="仿宋" w:eastAsia="仿宋" w:cs="仿宋"/>
                <w:i w:val="0"/>
                <w:iCs w:val="0"/>
                <w:color w:val="000000"/>
                <w:sz w:val="24"/>
                <w:szCs w:val="24"/>
                <w:u w:val="none"/>
              </w:rPr>
            </w:pPr>
          </w:p>
        </w:tc>
        <w:tc>
          <w:tcPr>
            <w:tcW w:w="479" w:type="pct"/>
            <w:tcBorders>
              <w:top w:val="nil"/>
              <w:left w:val="nil"/>
              <w:bottom w:val="single" w:color="000000" w:sz="4" w:space="0"/>
              <w:right w:val="single" w:color="000000" w:sz="4" w:space="0"/>
            </w:tcBorders>
            <w:shd w:val="clear" w:color="auto" w:fill="auto"/>
            <w:noWrap/>
            <w:vAlign w:val="center"/>
          </w:tcPr>
          <w:p w14:paraId="7003026B">
            <w:pPr>
              <w:jc w:val="right"/>
              <w:rPr>
                <w:rFonts w:hint="eastAsia" w:ascii="仿宋" w:hAnsi="仿宋" w:eastAsia="仿宋" w:cs="仿宋"/>
                <w:i w:val="0"/>
                <w:iCs w:val="0"/>
                <w:color w:val="000000"/>
                <w:sz w:val="24"/>
                <w:szCs w:val="24"/>
                <w:u w:val="none"/>
              </w:rPr>
            </w:pPr>
          </w:p>
        </w:tc>
        <w:tc>
          <w:tcPr>
            <w:tcW w:w="412" w:type="pct"/>
            <w:tcBorders>
              <w:top w:val="nil"/>
              <w:left w:val="nil"/>
              <w:bottom w:val="single" w:color="000000" w:sz="4" w:space="0"/>
              <w:right w:val="single" w:color="000000" w:sz="4" w:space="0"/>
            </w:tcBorders>
            <w:shd w:val="clear" w:color="auto" w:fill="auto"/>
            <w:noWrap/>
            <w:vAlign w:val="center"/>
          </w:tcPr>
          <w:p w14:paraId="3D05A1EE">
            <w:pPr>
              <w:jc w:val="right"/>
              <w:rPr>
                <w:rFonts w:hint="eastAsia" w:ascii="仿宋" w:hAnsi="仿宋" w:eastAsia="仿宋" w:cs="仿宋"/>
                <w:i w:val="0"/>
                <w:iCs w:val="0"/>
                <w:color w:val="000000"/>
                <w:sz w:val="24"/>
                <w:szCs w:val="24"/>
                <w:u w:val="none"/>
              </w:rPr>
            </w:pPr>
          </w:p>
        </w:tc>
        <w:tc>
          <w:tcPr>
            <w:tcW w:w="506" w:type="pct"/>
            <w:tcBorders>
              <w:top w:val="nil"/>
              <w:left w:val="nil"/>
              <w:bottom w:val="single" w:color="000000" w:sz="4" w:space="0"/>
              <w:right w:val="single" w:color="000000" w:sz="4" w:space="0"/>
            </w:tcBorders>
            <w:shd w:val="clear" w:color="auto" w:fill="auto"/>
            <w:noWrap/>
            <w:vAlign w:val="center"/>
          </w:tcPr>
          <w:p w14:paraId="036AD6B9">
            <w:pPr>
              <w:jc w:val="right"/>
              <w:rPr>
                <w:rFonts w:hint="eastAsia" w:ascii="仿宋" w:hAnsi="仿宋" w:eastAsia="仿宋" w:cs="仿宋"/>
                <w:i w:val="0"/>
                <w:iCs w:val="0"/>
                <w:color w:val="000000"/>
                <w:sz w:val="24"/>
                <w:szCs w:val="24"/>
                <w:u w:val="none"/>
              </w:rPr>
            </w:pPr>
          </w:p>
        </w:tc>
        <w:tc>
          <w:tcPr>
            <w:tcW w:w="483" w:type="pct"/>
            <w:tcBorders>
              <w:top w:val="nil"/>
              <w:left w:val="nil"/>
              <w:bottom w:val="single" w:color="000000" w:sz="4" w:space="0"/>
              <w:right w:val="single" w:color="000000" w:sz="4" w:space="0"/>
            </w:tcBorders>
            <w:shd w:val="clear" w:color="auto" w:fill="auto"/>
            <w:noWrap/>
            <w:vAlign w:val="center"/>
          </w:tcPr>
          <w:p w14:paraId="757D3156">
            <w:pPr>
              <w:jc w:val="right"/>
              <w:rPr>
                <w:rFonts w:hint="eastAsia" w:ascii="仿宋" w:hAnsi="仿宋" w:eastAsia="仿宋" w:cs="仿宋"/>
                <w:i w:val="0"/>
                <w:iCs w:val="0"/>
                <w:color w:val="000000"/>
                <w:sz w:val="24"/>
                <w:szCs w:val="24"/>
                <w:u w:val="none"/>
              </w:rPr>
            </w:pPr>
          </w:p>
        </w:tc>
        <w:tc>
          <w:tcPr>
            <w:tcW w:w="383" w:type="pct"/>
            <w:tcBorders>
              <w:top w:val="nil"/>
              <w:left w:val="nil"/>
              <w:bottom w:val="single" w:color="000000" w:sz="4" w:space="0"/>
              <w:right w:val="single" w:color="000000" w:sz="4" w:space="0"/>
            </w:tcBorders>
            <w:shd w:val="clear" w:color="auto" w:fill="auto"/>
            <w:noWrap/>
            <w:vAlign w:val="center"/>
          </w:tcPr>
          <w:p w14:paraId="3AC024D8">
            <w:pPr>
              <w:jc w:val="right"/>
              <w:rPr>
                <w:rFonts w:hint="eastAsia" w:ascii="仿宋" w:hAnsi="仿宋" w:eastAsia="仿宋" w:cs="仿宋"/>
                <w:i w:val="0"/>
                <w:iCs w:val="0"/>
                <w:color w:val="000000"/>
                <w:sz w:val="24"/>
                <w:szCs w:val="24"/>
                <w:u w:val="none"/>
              </w:rPr>
            </w:pPr>
          </w:p>
        </w:tc>
      </w:tr>
    </w:tbl>
    <w:p w14:paraId="305DE6BE">
      <w:pPr>
        <w:pStyle w:val="3"/>
        <w:rPr>
          <w:rFonts w:hint="default"/>
          <w:lang w:val="en-US" w:eastAsia="zh-CN"/>
        </w:rPr>
      </w:pPr>
    </w:p>
    <w:p w14:paraId="0130AEC1">
      <w:pPr>
        <w:pStyle w:val="3"/>
        <w:rPr>
          <w:rFonts w:hint="default"/>
          <w:lang w:val="en-US" w:eastAsia="zh-CN"/>
        </w:rPr>
      </w:pPr>
    </w:p>
    <w:p w14:paraId="2773071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p>
    <w:sectPr>
      <w:pgSz w:w="16838" w:h="11906" w:orient="landscape"/>
      <w:pgMar w:top="1587" w:right="2098" w:bottom="1800"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1" w:fontKey="{754133E2-CA93-4033-94F2-3F8CBB8D03F7}"/>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6DE17CE8-EB39-4797-B4DB-48F2CF90B6CF}"/>
  </w:font>
  <w:font w:name="方正黑体_GBK">
    <w:altName w:val="微软雅黑"/>
    <w:panose1 w:val="02000000000000000000"/>
    <w:charset w:val="86"/>
    <w:family w:val="auto"/>
    <w:pitch w:val="default"/>
    <w:sig w:usb0="00000000" w:usb1="00000000" w:usb2="00000000" w:usb3="00000000" w:csb0="00040000" w:csb1="00000000"/>
    <w:embedRegular r:id="rId3" w:fontKey="{944D53D5-035C-4F42-95F2-E68E97D2F88E}"/>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B028AD38-823C-4FF3-851F-9B3547CFA9AF}"/>
  </w:font>
  <w:font w:name="Times New Roman Regular">
    <w:altName w:val="Times New Roman"/>
    <w:panose1 w:val="02020603050405020304"/>
    <w:charset w:val="00"/>
    <w:family w:val="auto"/>
    <w:pitch w:val="default"/>
    <w:sig w:usb0="00000000" w:usb1="00000000" w:usb2="00000009" w:usb3="00000000" w:csb0="400001FF" w:csb1="FFFF0000"/>
    <w:embedRegular r:id="rId5" w:fontKey="{A5544D0A-F5A1-4CA0-A77F-4AE54305CAE0}"/>
  </w:font>
  <w:font w:name="仿宋_GB2312">
    <w:panose1 w:val="02010609030101010101"/>
    <w:charset w:val="86"/>
    <w:family w:val="auto"/>
    <w:pitch w:val="default"/>
    <w:sig w:usb0="00000001" w:usb1="080E0000" w:usb2="00000000" w:usb3="00000000" w:csb0="00040000" w:csb1="00000000"/>
    <w:embedRegular r:id="rId6" w:fontKey="{4F254C3C-D7A2-4646-94B6-61E90DC63DE3}"/>
  </w:font>
  <w:font w:name="方正小标宋简体">
    <w:panose1 w:val="02000000000000000000"/>
    <w:charset w:val="86"/>
    <w:family w:val="auto"/>
    <w:pitch w:val="default"/>
    <w:sig w:usb0="00000001" w:usb1="08000000" w:usb2="00000000" w:usb3="00000000" w:csb0="00040000" w:csb1="00000000"/>
    <w:embedRegular r:id="rId7" w:fontKey="{48450324-E656-4AED-B3A5-60133FAB13AA}"/>
  </w:font>
  <w:font w:name="方正仿宋_GB2312">
    <w:panose1 w:val="02000000000000000000"/>
    <w:charset w:val="86"/>
    <w:family w:val="auto"/>
    <w:pitch w:val="default"/>
    <w:sig w:usb0="A00002BF" w:usb1="184F6CFA" w:usb2="00000012" w:usb3="00000000" w:csb0="00040001" w:csb1="00000000"/>
    <w:embedRegular r:id="rId8" w:fontKey="{78C7C250-C58C-4ECB-86E7-9C8770FCB217}"/>
  </w:font>
  <w:font w:name="华文中宋">
    <w:panose1 w:val="02010600040101010101"/>
    <w:charset w:val="86"/>
    <w:family w:val="auto"/>
    <w:pitch w:val="default"/>
    <w:sig w:usb0="00000287" w:usb1="080F0000" w:usb2="00000000" w:usb3="00000000" w:csb0="0004009F" w:csb1="DFD70000"/>
    <w:embedRegular r:id="rId9" w:fontKey="{CA0DE166-1236-4083-8E84-316259424A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1D5FB4"/>
    <w:rsid w:val="01910A08"/>
    <w:rsid w:val="01995B0E"/>
    <w:rsid w:val="019C26CF"/>
    <w:rsid w:val="01CE3A0A"/>
    <w:rsid w:val="02A429BD"/>
    <w:rsid w:val="02AB78A7"/>
    <w:rsid w:val="034C410B"/>
    <w:rsid w:val="034F2928"/>
    <w:rsid w:val="035166A0"/>
    <w:rsid w:val="03767EB5"/>
    <w:rsid w:val="045C354F"/>
    <w:rsid w:val="04610B65"/>
    <w:rsid w:val="04910D1F"/>
    <w:rsid w:val="04FA68C4"/>
    <w:rsid w:val="0543026B"/>
    <w:rsid w:val="05A807F9"/>
    <w:rsid w:val="05AA0371"/>
    <w:rsid w:val="05CD5D86"/>
    <w:rsid w:val="05E95AA6"/>
    <w:rsid w:val="05FB28F4"/>
    <w:rsid w:val="066A0CC1"/>
    <w:rsid w:val="06FF01C2"/>
    <w:rsid w:val="07A1571D"/>
    <w:rsid w:val="07AF7E3A"/>
    <w:rsid w:val="08512C9F"/>
    <w:rsid w:val="085D1644"/>
    <w:rsid w:val="09DA712A"/>
    <w:rsid w:val="09EF451D"/>
    <w:rsid w:val="0A3B3C06"/>
    <w:rsid w:val="0A59408D"/>
    <w:rsid w:val="0A5E78F5"/>
    <w:rsid w:val="0A870BFA"/>
    <w:rsid w:val="0AF142C5"/>
    <w:rsid w:val="0B957346"/>
    <w:rsid w:val="0B9C6927"/>
    <w:rsid w:val="0BD22349"/>
    <w:rsid w:val="0C180A78"/>
    <w:rsid w:val="0C1A784C"/>
    <w:rsid w:val="0CB60E73"/>
    <w:rsid w:val="0CF74598"/>
    <w:rsid w:val="0D276746"/>
    <w:rsid w:val="0D464D9C"/>
    <w:rsid w:val="0D5C636E"/>
    <w:rsid w:val="0D894C89"/>
    <w:rsid w:val="0DB717F6"/>
    <w:rsid w:val="0DD52794"/>
    <w:rsid w:val="0E325320"/>
    <w:rsid w:val="0E682AF0"/>
    <w:rsid w:val="0E956870"/>
    <w:rsid w:val="0E9953A0"/>
    <w:rsid w:val="0EC662E4"/>
    <w:rsid w:val="0EDC703A"/>
    <w:rsid w:val="0F1741C3"/>
    <w:rsid w:val="0F735BF1"/>
    <w:rsid w:val="0F9A317D"/>
    <w:rsid w:val="0FB71F81"/>
    <w:rsid w:val="0FDE1F27"/>
    <w:rsid w:val="10156CA8"/>
    <w:rsid w:val="102B64CB"/>
    <w:rsid w:val="103510F8"/>
    <w:rsid w:val="10872AF6"/>
    <w:rsid w:val="10A73DA4"/>
    <w:rsid w:val="10B93AD7"/>
    <w:rsid w:val="10C666A5"/>
    <w:rsid w:val="10EA5A3E"/>
    <w:rsid w:val="117874EE"/>
    <w:rsid w:val="121A67F7"/>
    <w:rsid w:val="1223366A"/>
    <w:rsid w:val="12331667"/>
    <w:rsid w:val="125C0BBE"/>
    <w:rsid w:val="12651E51"/>
    <w:rsid w:val="127C6B6A"/>
    <w:rsid w:val="12B427A8"/>
    <w:rsid w:val="12DE5A77"/>
    <w:rsid w:val="13165211"/>
    <w:rsid w:val="13257202"/>
    <w:rsid w:val="134D0507"/>
    <w:rsid w:val="134E49AB"/>
    <w:rsid w:val="138A3821"/>
    <w:rsid w:val="13E26EA1"/>
    <w:rsid w:val="14213E6D"/>
    <w:rsid w:val="1432607A"/>
    <w:rsid w:val="143877FD"/>
    <w:rsid w:val="144117E6"/>
    <w:rsid w:val="152E1587"/>
    <w:rsid w:val="1599318F"/>
    <w:rsid w:val="15E50ECA"/>
    <w:rsid w:val="165C73DE"/>
    <w:rsid w:val="16CC2170"/>
    <w:rsid w:val="16F5338F"/>
    <w:rsid w:val="170D06D9"/>
    <w:rsid w:val="171F21BA"/>
    <w:rsid w:val="17B943BD"/>
    <w:rsid w:val="17BD3EAD"/>
    <w:rsid w:val="17DD454F"/>
    <w:rsid w:val="17FCFFF6"/>
    <w:rsid w:val="184C5231"/>
    <w:rsid w:val="18D86AC4"/>
    <w:rsid w:val="19350747"/>
    <w:rsid w:val="19540841"/>
    <w:rsid w:val="19614D0C"/>
    <w:rsid w:val="19AF3CC9"/>
    <w:rsid w:val="19E805B2"/>
    <w:rsid w:val="1A44242A"/>
    <w:rsid w:val="1AB07CF9"/>
    <w:rsid w:val="1ABA2925"/>
    <w:rsid w:val="1AC700C6"/>
    <w:rsid w:val="1AE6371B"/>
    <w:rsid w:val="1AFC4CEC"/>
    <w:rsid w:val="1B040045"/>
    <w:rsid w:val="1B2B737F"/>
    <w:rsid w:val="1B3A3A66"/>
    <w:rsid w:val="1B7B4E2E"/>
    <w:rsid w:val="1C1833AB"/>
    <w:rsid w:val="1CA70C88"/>
    <w:rsid w:val="1CBF872E"/>
    <w:rsid w:val="1D392227"/>
    <w:rsid w:val="1D3E11E9"/>
    <w:rsid w:val="1D5F6D88"/>
    <w:rsid w:val="1D61352C"/>
    <w:rsid w:val="1D644DCB"/>
    <w:rsid w:val="1D7C3EC2"/>
    <w:rsid w:val="1DA70F80"/>
    <w:rsid w:val="1F4849A4"/>
    <w:rsid w:val="1F9B2F8A"/>
    <w:rsid w:val="1FCF6E11"/>
    <w:rsid w:val="1FD46237"/>
    <w:rsid w:val="20130E79"/>
    <w:rsid w:val="206A26F8"/>
    <w:rsid w:val="2080016D"/>
    <w:rsid w:val="20867DE8"/>
    <w:rsid w:val="209854B7"/>
    <w:rsid w:val="20AB7B02"/>
    <w:rsid w:val="213D7E0C"/>
    <w:rsid w:val="21537630"/>
    <w:rsid w:val="21546EA4"/>
    <w:rsid w:val="22252D7A"/>
    <w:rsid w:val="22525B39"/>
    <w:rsid w:val="226F3FF6"/>
    <w:rsid w:val="229879F0"/>
    <w:rsid w:val="22EC3898"/>
    <w:rsid w:val="22FE234B"/>
    <w:rsid w:val="23552883"/>
    <w:rsid w:val="2409047A"/>
    <w:rsid w:val="246003A3"/>
    <w:rsid w:val="254774AC"/>
    <w:rsid w:val="25D92BA6"/>
    <w:rsid w:val="26F62F37"/>
    <w:rsid w:val="273870AC"/>
    <w:rsid w:val="275D4D64"/>
    <w:rsid w:val="276A122F"/>
    <w:rsid w:val="277E6F02"/>
    <w:rsid w:val="278A3680"/>
    <w:rsid w:val="27B801ED"/>
    <w:rsid w:val="28553C8E"/>
    <w:rsid w:val="28A013AD"/>
    <w:rsid w:val="28A6273B"/>
    <w:rsid w:val="28CF1C92"/>
    <w:rsid w:val="28D95F1A"/>
    <w:rsid w:val="28ED036A"/>
    <w:rsid w:val="29177195"/>
    <w:rsid w:val="294A57BC"/>
    <w:rsid w:val="2964062C"/>
    <w:rsid w:val="29990575"/>
    <w:rsid w:val="2A383867"/>
    <w:rsid w:val="2A385615"/>
    <w:rsid w:val="2A3A313B"/>
    <w:rsid w:val="2AA970B6"/>
    <w:rsid w:val="2AD43590"/>
    <w:rsid w:val="2AD74E2E"/>
    <w:rsid w:val="2AF6742D"/>
    <w:rsid w:val="2BA967CA"/>
    <w:rsid w:val="2BC453B2"/>
    <w:rsid w:val="2C422B6C"/>
    <w:rsid w:val="2CAE1BBE"/>
    <w:rsid w:val="2D417546"/>
    <w:rsid w:val="2DBD655D"/>
    <w:rsid w:val="2DEF06E0"/>
    <w:rsid w:val="2DEF7510"/>
    <w:rsid w:val="2E0E6DB8"/>
    <w:rsid w:val="2E3B56D4"/>
    <w:rsid w:val="2E3D31FA"/>
    <w:rsid w:val="2E8D23D3"/>
    <w:rsid w:val="2EA25753"/>
    <w:rsid w:val="2EAE5774"/>
    <w:rsid w:val="2FB971F8"/>
    <w:rsid w:val="2FC75471"/>
    <w:rsid w:val="30444D13"/>
    <w:rsid w:val="305E56A9"/>
    <w:rsid w:val="30894E1C"/>
    <w:rsid w:val="312A2265"/>
    <w:rsid w:val="31771119"/>
    <w:rsid w:val="31F938DC"/>
    <w:rsid w:val="32322385"/>
    <w:rsid w:val="329E432A"/>
    <w:rsid w:val="32BD0DAD"/>
    <w:rsid w:val="33184235"/>
    <w:rsid w:val="333F3E43"/>
    <w:rsid w:val="33A8380B"/>
    <w:rsid w:val="33E10ACB"/>
    <w:rsid w:val="35C91817"/>
    <w:rsid w:val="35DA3A24"/>
    <w:rsid w:val="35E93C67"/>
    <w:rsid w:val="36462E68"/>
    <w:rsid w:val="36617CA1"/>
    <w:rsid w:val="36A24542"/>
    <w:rsid w:val="36AE42DD"/>
    <w:rsid w:val="36FC0F5D"/>
    <w:rsid w:val="375773F8"/>
    <w:rsid w:val="37936580"/>
    <w:rsid w:val="37D930E8"/>
    <w:rsid w:val="37E22162"/>
    <w:rsid w:val="38170F5F"/>
    <w:rsid w:val="38353194"/>
    <w:rsid w:val="38397128"/>
    <w:rsid w:val="388B2C2B"/>
    <w:rsid w:val="38983E4E"/>
    <w:rsid w:val="38C20ECB"/>
    <w:rsid w:val="393E32BB"/>
    <w:rsid w:val="394E09B1"/>
    <w:rsid w:val="3A06303A"/>
    <w:rsid w:val="3A0821EA"/>
    <w:rsid w:val="3A0948D8"/>
    <w:rsid w:val="3A2F2590"/>
    <w:rsid w:val="3A5E4C24"/>
    <w:rsid w:val="3A6A6B44"/>
    <w:rsid w:val="3ACC6031"/>
    <w:rsid w:val="3BEB698B"/>
    <w:rsid w:val="3C3319EF"/>
    <w:rsid w:val="3C58589D"/>
    <w:rsid w:val="3C5C1637"/>
    <w:rsid w:val="3CA803D8"/>
    <w:rsid w:val="3CC571DC"/>
    <w:rsid w:val="3D0F2205"/>
    <w:rsid w:val="3D1E4B3E"/>
    <w:rsid w:val="3DC254CA"/>
    <w:rsid w:val="3E391C30"/>
    <w:rsid w:val="3E7F160D"/>
    <w:rsid w:val="3E95498C"/>
    <w:rsid w:val="3ECA7BB4"/>
    <w:rsid w:val="3EFB02D6"/>
    <w:rsid w:val="3EFDDE87"/>
    <w:rsid w:val="3F170D0C"/>
    <w:rsid w:val="3F285800"/>
    <w:rsid w:val="3F555E16"/>
    <w:rsid w:val="3F626F64"/>
    <w:rsid w:val="3F746C97"/>
    <w:rsid w:val="40086089"/>
    <w:rsid w:val="406E7B8B"/>
    <w:rsid w:val="40B51316"/>
    <w:rsid w:val="40CF0629"/>
    <w:rsid w:val="40DF6392"/>
    <w:rsid w:val="40EA5463"/>
    <w:rsid w:val="410F0A26"/>
    <w:rsid w:val="41760AA5"/>
    <w:rsid w:val="419B2857"/>
    <w:rsid w:val="41D57EC1"/>
    <w:rsid w:val="41D71DA8"/>
    <w:rsid w:val="42CF2B62"/>
    <w:rsid w:val="43210EE4"/>
    <w:rsid w:val="432D7889"/>
    <w:rsid w:val="43476B9D"/>
    <w:rsid w:val="438F40A0"/>
    <w:rsid w:val="43A833B4"/>
    <w:rsid w:val="43CC2BFE"/>
    <w:rsid w:val="440920A4"/>
    <w:rsid w:val="448E25A9"/>
    <w:rsid w:val="45601543"/>
    <w:rsid w:val="464B3E8B"/>
    <w:rsid w:val="466E5757"/>
    <w:rsid w:val="46F506BE"/>
    <w:rsid w:val="46F5246C"/>
    <w:rsid w:val="46F96400"/>
    <w:rsid w:val="470E1780"/>
    <w:rsid w:val="471F573B"/>
    <w:rsid w:val="47637D1D"/>
    <w:rsid w:val="476D64A6"/>
    <w:rsid w:val="47CF53B3"/>
    <w:rsid w:val="47DE55F6"/>
    <w:rsid w:val="47F40975"/>
    <w:rsid w:val="480037BE"/>
    <w:rsid w:val="481334F1"/>
    <w:rsid w:val="48141018"/>
    <w:rsid w:val="483671E0"/>
    <w:rsid w:val="48651873"/>
    <w:rsid w:val="48822425"/>
    <w:rsid w:val="48A91760"/>
    <w:rsid w:val="48BF71D5"/>
    <w:rsid w:val="48F0738F"/>
    <w:rsid w:val="49657005"/>
    <w:rsid w:val="49755AE6"/>
    <w:rsid w:val="49B20AE8"/>
    <w:rsid w:val="49E05655"/>
    <w:rsid w:val="49F3456F"/>
    <w:rsid w:val="4A227A1C"/>
    <w:rsid w:val="4AE41175"/>
    <w:rsid w:val="4AE50A49"/>
    <w:rsid w:val="4AFA2747"/>
    <w:rsid w:val="4BA3729E"/>
    <w:rsid w:val="4C12586E"/>
    <w:rsid w:val="4C1A61BD"/>
    <w:rsid w:val="4C523EBC"/>
    <w:rsid w:val="4C63431C"/>
    <w:rsid w:val="4C6611ED"/>
    <w:rsid w:val="4D2A6BE7"/>
    <w:rsid w:val="4D5D3BD3"/>
    <w:rsid w:val="4DD454D1"/>
    <w:rsid w:val="4E134968"/>
    <w:rsid w:val="4E724CEA"/>
    <w:rsid w:val="4EB26E94"/>
    <w:rsid w:val="4EB7F892"/>
    <w:rsid w:val="4F196F13"/>
    <w:rsid w:val="4FA57CEC"/>
    <w:rsid w:val="4FB1539E"/>
    <w:rsid w:val="4FB31116"/>
    <w:rsid w:val="4FDD43E5"/>
    <w:rsid w:val="4FFD05E3"/>
    <w:rsid w:val="50131BB5"/>
    <w:rsid w:val="50395ABF"/>
    <w:rsid w:val="50785204"/>
    <w:rsid w:val="5086682B"/>
    <w:rsid w:val="509B4084"/>
    <w:rsid w:val="51096870"/>
    <w:rsid w:val="51271DBC"/>
    <w:rsid w:val="5153495F"/>
    <w:rsid w:val="51750D79"/>
    <w:rsid w:val="518B234A"/>
    <w:rsid w:val="51B178D7"/>
    <w:rsid w:val="51FA127E"/>
    <w:rsid w:val="5217598C"/>
    <w:rsid w:val="52663400"/>
    <w:rsid w:val="52AA6800"/>
    <w:rsid w:val="532E7431"/>
    <w:rsid w:val="533B7F90"/>
    <w:rsid w:val="542C1497"/>
    <w:rsid w:val="542D76E9"/>
    <w:rsid w:val="54352A41"/>
    <w:rsid w:val="54686973"/>
    <w:rsid w:val="546E7D01"/>
    <w:rsid w:val="547C5F7A"/>
    <w:rsid w:val="54D538DD"/>
    <w:rsid w:val="552A0475"/>
    <w:rsid w:val="5536081F"/>
    <w:rsid w:val="5560589C"/>
    <w:rsid w:val="56861332"/>
    <w:rsid w:val="56B56E8F"/>
    <w:rsid w:val="56DE76FC"/>
    <w:rsid w:val="573E7E5F"/>
    <w:rsid w:val="575B631B"/>
    <w:rsid w:val="578D10CB"/>
    <w:rsid w:val="58044C05"/>
    <w:rsid w:val="581D7A74"/>
    <w:rsid w:val="5838665C"/>
    <w:rsid w:val="58472D43"/>
    <w:rsid w:val="58692CBA"/>
    <w:rsid w:val="588B0E82"/>
    <w:rsid w:val="589715D5"/>
    <w:rsid w:val="58C85C32"/>
    <w:rsid w:val="58EB1921"/>
    <w:rsid w:val="597638E0"/>
    <w:rsid w:val="5A5915AC"/>
    <w:rsid w:val="5A9D4E9D"/>
    <w:rsid w:val="5ABBC979"/>
    <w:rsid w:val="5AE40D1D"/>
    <w:rsid w:val="5B7B3430"/>
    <w:rsid w:val="5B934271"/>
    <w:rsid w:val="5BC30933"/>
    <w:rsid w:val="5BCB6B9F"/>
    <w:rsid w:val="5BFC7B3B"/>
    <w:rsid w:val="5C25514A"/>
    <w:rsid w:val="5C427AAA"/>
    <w:rsid w:val="5C69772C"/>
    <w:rsid w:val="5D465377"/>
    <w:rsid w:val="5D5F28DD"/>
    <w:rsid w:val="5D7C142D"/>
    <w:rsid w:val="5D7F0889"/>
    <w:rsid w:val="5E202886"/>
    <w:rsid w:val="5E7423B8"/>
    <w:rsid w:val="5E77C7C6"/>
    <w:rsid w:val="5F3E282E"/>
    <w:rsid w:val="5F5F0972"/>
    <w:rsid w:val="5F9C1BC7"/>
    <w:rsid w:val="5FE175D9"/>
    <w:rsid w:val="5FFFAAE0"/>
    <w:rsid w:val="600F05EB"/>
    <w:rsid w:val="60341DFF"/>
    <w:rsid w:val="60C90799"/>
    <w:rsid w:val="60F67238"/>
    <w:rsid w:val="611063C8"/>
    <w:rsid w:val="6129748A"/>
    <w:rsid w:val="6131633F"/>
    <w:rsid w:val="613D2F35"/>
    <w:rsid w:val="622A5268"/>
    <w:rsid w:val="62D5501B"/>
    <w:rsid w:val="630248A2"/>
    <w:rsid w:val="63310878"/>
    <w:rsid w:val="63927568"/>
    <w:rsid w:val="63B15515"/>
    <w:rsid w:val="64041BB3"/>
    <w:rsid w:val="6421269A"/>
    <w:rsid w:val="645A5BAC"/>
    <w:rsid w:val="65442AE4"/>
    <w:rsid w:val="65613696"/>
    <w:rsid w:val="65A64ECD"/>
    <w:rsid w:val="65DE6043"/>
    <w:rsid w:val="66347B2F"/>
    <w:rsid w:val="663761A5"/>
    <w:rsid w:val="664F7993"/>
    <w:rsid w:val="66630D48"/>
    <w:rsid w:val="667FD72C"/>
    <w:rsid w:val="66AD290B"/>
    <w:rsid w:val="66D734E4"/>
    <w:rsid w:val="66E520A5"/>
    <w:rsid w:val="670F6C28"/>
    <w:rsid w:val="672901E4"/>
    <w:rsid w:val="67916664"/>
    <w:rsid w:val="67A94E81"/>
    <w:rsid w:val="682D3D04"/>
    <w:rsid w:val="68342513"/>
    <w:rsid w:val="686A72A2"/>
    <w:rsid w:val="6881195A"/>
    <w:rsid w:val="68BE670A"/>
    <w:rsid w:val="69110F2F"/>
    <w:rsid w:val="69821E2D"/>
    <w:rsid w:val="698C4A5A"/>
    <w:rsid w:val="6A12486A"/>
    <w:rsid w:val="6A627569"/>
    <w:rsid w:val="6ABE64BE"/>
    <w:rsid w:val="6B5F16C5"/>
    <w:rsid w:val="6B6E08BB"/>
    <w:rsid w:val="6B8579B3"/>
    <w:rsid w:val="6BA51E03"/>
    <w:rsid w:val="6BAE0CB8"/>
    <w:rsid w:val="6BB42046"/>
    <w:rsid w:val="6BB87D88"/>
    <w:rsid w:val="6BE5577E"/>
    <w:rsid w:val="6BF6265F"/>
    <w:rsid w:val="6C557385"/>
    <w:rsid w:val="6C5D26DE"/>
    <w:rsid w:val="6C75701C"/>
    <w:rsid w:val="6C840919"/>
    <w:rsid w:val="6C90660F"/>
    <w:rsid w:val="6C9360FF"/>
    <w:rsid w:val="6C9E256B"/>
    <w:rsid w:val="6CAC77B2"/>
    <w:rsid w:val="6CF3EA5A"/>
    <w:rsid w:val="6D0F39D8"/>
    <w:rsid w:val="6DAD31F1"/>
    <w:rsid w:val="6DB225B5"/>
    <w:rsid w:val="6DEE183F"/>
    <w:rsid w:val="6E1D3ED3"/>
    <w:rsid w:val="6E3556C0"/>
    <w:rsid w:val="6E8421A4"/>
    <w:rsid w:val="6E8E6B7E"/>
    <w:rsid w:val="6E922B12"/>
    <w:rsid w:val="6EB81E4D"/>
    <w:rsid w:val="6ED36C87"/>
    <w:rsid w:val="6EEA3F02"/>
    <w:rsid w:val="6F2319BD"/>
    <w:rsid w:val="6F4656AB"/>
    <w:rsid w:val="6F7A1E34"/>
    <w:rsid w:val="6FC833D2"/>
    <w:rsid w:val="6FDE7E71"/>
    <w:rsid w:val="6FE86762"/>
    <w:rsid w:val="70207CAA"/>
    <w:rsid w:val="7053007F"/>
    <w:rsid w:val="711C2B67"/>
    <w:rsid w:val="715A71EC"/>
    <w:rsid w:val="716360A0"/>
    <w:rsid w:val="718D5813"/>
    <w:rsid w:val="71B763EC"/>
    <w:rsid w:val="71C05CCC"/>
    <w:rsid w:val="71CA25C3"/>
    <w:rsid w:val="72734A09"/>
    <w:rsid w:val="72DF3E4C"/>
    <w:rsid w:val="72F571CC"/>
    <w:rsid w:val="73155AC0"/>
    <w:rsid w:val="73966C01"/>
    <w:rsid w:val="740022CC"/>
    <w:rsid w:val="747131CA"/>
    <w:rsid w:val="747F3DF9"/>
    <w:rsid w:val="74810724"/>
    <w:rsid w:val="74940C67"/>
    <w:rsid w:val="74AB66DC"/>
    <w:rsid w:val="74BE7A92"/>
    <w:rsid w:val="7513602F"/>
    <w:rsid w:val="751D2A0A"/>
    <w:rsid w:val="753C4E9B"/>
    <w:rsid w:val="756330DE"/>
    <w:rsid w:val="75CD2682"/>
    <w:rsid w:val="75EB0D5A"/>
    <w:rsid w:val="762E7D53"/>
    <w:rsid w:val="765B5EE0"/>
    <w:rsid w:val="769925EF"/>
    <w:rsid w:val="769B7804"/>
    <w:rsid w:val="76CC46E8"/>
    <w:rsid w:val="779FCBF0"/>
    <w:rsid w:val="77A07D90"/>
    <w:rsid w:val="77C82C1F"/>
    <w:rsid w:val="77DA4BE2"/>
    <w:rsid w:val="77DF669D"/>
    <w:rsid w:val="77EB6DF0"/>
    <w:rsid w:val="77EF4B32"/>
    <w:rsid w:val="77F7E21B"/>
    <w:rsid w:val="781113A7"/>
    <w:rsid w:val="785D6611"/>
    <w:rsid w:val="786B6102"/>
    <w:rsid w:val="786D3CA8"/>
    <w:rsid w:val="78AF606F"/>
    <w:rsid w:val="791D122B"/>
    <w:rsid w:val="791E6510"/>
    <w:rsid w:val="793B7903"/>
    <w:rsid w:val="79E2F975"/>
    <w:rsid w:val="7A212F9C"/>
    <w:rsid w:val="7A6A04A0"/>
    <w:rsid w:val="7AA8721A"/>
    <w:rsid w:val="7AB71F96"/>
    <w:rsid w:val="7AF75AAB"/>
    <w:rsid w:val="7B0408F4"/>
    <w:rsid w:val="7B1623D5"/>
    <w:rsid w:val="7B1B3E90"/>
    <w:rsid w:val="7B3311D9"/>
    <w:rsid w:val="7B3BDBF2"/>
    <w:rsid w:val="7B941A2A"/>
    <w:rsid w:val="7BF02C26"/>
    <w:rsid w:val="7BF2433A"/>
    <w:rsid w:val="7BFD3595"/>
    <w:rsid w:val="7C7C095E"/>
    <w:rsid w:val="7C8D4A41"/>
    <w:rsid w:val="7CD24A22"/>
    <w:rsid w:val="7CEA3B1A"/>
    <w:rsid w:val="7CED7166"/>
    <w:rsid w:val="7D380D29"/>
    <w:rsid w:val="7D450D50"/>
    <w:rsid w:val="7D853842"/>
    <w:rsid w:val="7DF05160"/>
    <w:rsid w:val="7DF934E8"/>
    <w:rsid w:val="7EA67F14"/>
    <w:rsid w:val="7EBDCBBF"/>
    <w:rsid w:val="7EC357D4"/>
    <w:rsid w:val="7EC74CC1"/>
    <w:rsid w:val="7EE6408F"/>
    <w:rsid w:val="7F0F32BA"/>
    <w:rsid w:val="7F34107C"/>
    <w:rsid w:val="7F3EB32E"/>
    <w:rsid w:val="7F5F3F3B"/>
    <w:rsid w:val="7F5FE5E8"/>
    <w:rsid w:val="7F7FC8C5"/>
    <w:rsid w:val="7FAA57E2"/>
    <w:rsid w:val="7FE02FB2"/>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paragraph" w:styleId="3">
    <w:name w:val="heading 4"/>
    <w:basedOn w:val="1"/>
    <w:next w:val="1"/>
    <w:qFormat/>
    <w:uiPriority w:val="0"/>
    <w:pPr>
      <w:keepNext/>
      <w:keepLines/>
      <w:spacing w:before="280" w:after="290" w:line="376" w:lineRule="auto"/>
      <w:ind w:firstLine="250" w:firstLineChars="250"/>
      <w:outlineLvl w:val="3"/>
    </w:pPr>
    <w:rPr>
      <w:rFonts w:hint="default" w:ascii="Cambria" w:hAnsi="Cambria" w:eastAsia="宋体" w:cs="Cambria"/>
      <w:b/>
      <w:sz w:val="28"/>
      <w:szCs w:val="28"/>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autoRedefine/>
    <w:unhideWhenUsed/>
    <w:qFormat/>
    <w:uiPriority w:val="0"/>
    <w:pPr>
      <w:spacing w:beforeLines="0" w:afterLines="0"/>
      <w:ind w:firstLine="640" w:firstLineChars="200"/>
    </w:pPr>
    <w:rPr>
      <w:rFonts w:hint="default"/>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99"/>
    <w:pPr>
      <w:spacing w:after="120"/>
      <w:ind w:firstLine="420" w:firstLineChars="200"/>
    </w:pPr>
    <w:rPr>
      <w:rFonts w:ascii="Times New Roman" w:hAnsi="Times New Roman"/>
      <w:sz w:val="30"/>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ody Text First Indent 21"/>
    <w:basedOn w:val="4"/>
    <w:qFormat/>
    <w:uiPriority w:val="0"/>
    <w:pPr>
      <w:ind w:firstLine="420"/>
    </w:pPr>
  </w:style>
  <w:style w:type="paragraph" w:customStyle="1" w:styleId="13">
    <w:name w:val="标题1"/>
    <w:basedOn w:val="2"/>
    <w:autoRedefine/>
    <w:qFormat/>
    <w:uiPriority w:val="0"/>
    <w:rPr>
      <w:rFonts w:eastAsia="黑体"/>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qFormat/>
    <w:uiPriority w:val="99"/>
    <w:pPr>
      <w:widowControl w:val="0"/>
      <w:spacing w:line="240" w:lineRule="auto"/>
      <w:ind w:firstLine="420" w:firstLineChars="200"/>
      <w:jc w:val="both"/>
    </w:pPr>
    <w:rPr>
      <w:rFonts w:ascii="Calibri" w:hAnsi="Calibri" w:eastAsia="宋体" w:cs="Times New Roman"/>
      <w:sz w:val="21"/>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7376</Words>
  <Characters>7956</Characters>
  <Lines>0</Lines>
  <Paragraphs>0</Paragraphs>
  <TotalTime>14</TotalTime>
  <ScaleCrop>false</ScaleCrop>
  <LinksUpToDate>false</LinksUpToDate>
  <CharactersWithSpaces>8123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彭彭</cp:lastModifiedBy>
  <cp:lastPrinted>2025-04-10T10:25:00Z</cp:lastPrinted>
  <dcterms:modified xsi:type="dcterms:W3CDTF">2025-06-18T01:53:49Z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2E59967559EAD85B47E0F5671AAD0169_43</vt:lpwstr>
  </property>
  <property fmtid="{D5CDD505-2E9C-101B-9397-08002B2CF9AE}" pid="4" name="KSOTemplateDocerSaveRecord">
    <vt:lpwstr>eyJoZGlkIjoiMzEwNTM5NzYwMDRjMzkwZTVkZjY2ODkwMGIxNGU0OTUiLCJ1c2VySWQiOiIzNDEyNTYwMjYifQ==</vt:lpwstr>
  </property>
</Properties>
</file>